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60" w:rsidRDefault="00F74B60" w:rsidP="00F74B60">
      <w:pPr>
        <w:pStyle w:val="Heading1"/>
      </w:pPr>
      <w:r>
        <w:t>Missouri Consultants for Education, LLC</w:t>
      </w:r>
    </w:p>
    <w:p w:rsidR="00F74B60" w:rsidRDefault="00F74B60" w:rsidP="00E34940">
      <w:pPr>
        <w:spacing w:after="0" w:line="240" w:lineRule="auto"/>
        <w:rPr>
          <w:rFonts w:ascii="Century Gothic" w:hAnsi="Century Gothic"/>
          <w:b/>
          <w:sz w:val="20"/>
          <w:szCs w:val="20"/>
        </w:rPr>
      </w:pPr>
      <w:r>
        <w:rPr>
          <w:rFonts w:ascii="Century Gothic" w:hAnsi="Century Gothic"/>
          <w:b/>
          <w:sz w:val="20"/>
          <w:szCs w:val="20"/>
        </w:rPr>
        <w:t>19324 Deer Pointe Estates Dr</w:t>
      </w:r>
    </w:p>
    <w:p w:rsidR="00F74B60" w:rsidRDefault="00F74B60" w:rsidP="00E34940">
      <w:pPr>
        <w:spacing w:after="0" w:line="240" w:lineRule="auto"/>
        <w:rPr>
          <w:rFonts w:ascii="Century Gothic" w:hAnsi="Century Gothic"/>
          <w:b/>
          <w:sz w:val="20"/>
          <w:szCs w:val="20"/>
        </w:rPr>
      </w:pPr>
      <w:r>
        <w:rPr>
          <w:rFonts w:ascii="Century Gothic" w:hAnsi="Century Gothic"/>
          <w:b/>
          <w:sz w:val="20"/>
          <w:szCs w:val="20"/>
        </w:rPr>
        <w:t>Glencoe, Missouri 63038-1147</w:t>
      </w:r>
    </w:p>
    <w:p w:rsidR="00F74B60" w:rsidRDefault="00F74B60" w:rsidP="00E34940">
      <w:pPr>
        <w:pStyle w:val="Heading2"/>
        <w:rPr>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-4445</wp:posOffset>
                </wp:positionV>
                <wp:extent cx="6435725" cy="1905"/>
                <wp:effectExtent l="9525" t="9525" r="12700" b="76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35725" cy="1905"/>
                        </a:xfrm>
                        <a:custGeom>
                          <a:avLst/>
                          <a:gdLst>
                            <a:gd name="T0" fmla="*/ 0 w 10135"/>
                            <a:gd name="T1" fmla="*/ 0 h 3"/>
                            <a:gd name="T2" fmla="*/ 10135 w 10135"/>
                            <a:gd name="T3" fmla="*/ 3 h 3"/>
                          </a:gdLst>
                          <a:ahLst/>
                          <a:cxnLst>
                            <a:cxn ang="0">
                              <a:pos x="T0" y="T1"/>
                            </a:cxn>
                            <a:cxn ang="0">
                              <a:pos x="T2" y="T3"/>
                            </a:cxn>
                          </a:cxnLst>
                          <a:rect l="0" t="0" r="r" b="b"/>
                          <a:pathLst>
                            <a:path w="10135" h="3">
                              <a:moveTo>
                                <a:pt x="0" y="0"/>
                              </a:moveTo>
                              <a:lnTo>
                                <a:pt x="10135" y="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pt,-.35pt,497.75pt,-.2pt" coordsize="10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" filled="f" strokeweight="1pt">
                <v:path arrowok="t" o:connecttype="custom" o:connectlocs="0,0;6435725,1905" o:connectangles="0,0"/>
              </v:polyline>
            </w:pict>
          </mc:Fallback>
        </mc:AlternateContent>
      </w:r>
      <w:r>
        <w:t xml:space="preserve">Telephone </w:t>
      </w:r>
      <w:r w:rsidR="004D2720" w:rsidRPr="004D2720">
        <w:t xml:space="preserve">: </w:t>
      </w:r>
      <w:r w:rsidR="004D2720">
        <w:t>(</w:t>
      </w:r>
      <w:r w:rsidR="004D2720" w:rsidRPr="004D2720">
        <w:t>636</w:t>
      </w:r>
      <w:r w:rsidR="004D2720">
        <w:t xml:space="preserve">) </w:t>
      </w:r>
      <w:r w:rsidR="004D2720" w:rsidRPr="004D2720">
        <w:t>405-0649</w:t>
      </w:r>
    </w:p>
    <w:p w:rsidR="00F74B60" w:rsidRDefault="00F74B60" w:rsidP="00E34940">
      <w:pPr>
        <w:spacing w:after="0" w:line="240" w:lineRule="auto"/>
        <w:jc w:val="right"/>
        <w:rPr>
          <w:rFonts w:ascii="Century Gothic" w:hAnsi="Century Gothic"/>
          <w:b/>
          <w:sz w:val="20"/>
          <w:szCs w:val="20"/>
        </w:rPr>
      </w:pPr>
      <w:r>
        <w:rPr>
          <w:rFonts w:ascii="Century Gothic" w:hAnsi="Century Gothic"/>
          <w:b/>
          <w:sz w:val="20"/>
          <w:szCs w:val="20"/>
        </w:rPr>
        <w:t>(314) 878-5607</w:t>
      </w:r>
    </w:p>
    <w:p w:rsidR="00F74B60" w:rsidRDefault="00336955" w:rsidP="00E34940">
      <w:pPr>
        <w:spacing w:after="0" w:line="240" w:lineRule="auto"/>
        <w:jc w:val="right"/>
        <w:rPr>
          <w:rFonts w:ascii="Century Gothic" w:hAnsi="Century Gothic"/>
          <w:b/>
          <w:sz w:val="20"/>
          <w:szCs w:val="20"/>
        </w:rPr>
      </w:pPr>
      <w:hyperlink r:id="rId7" w:history="1">
        <w:r w:rsidR="00F74B60">
          <w:rPr>
            <w:rStyle w:val="Hyperlink"/>
            <w:rFonts w:ascii="Century Gothic" w:hAnsi="Century Gothic"/>
            <w:b/>
            <w:sz w:val="20"/>
            <w:szCs w:val="20"/>
          </w:rPr>
          <w:t>www.moconed.com</w:t>
        </w:r>
      </w:hyperlink>
    </w:p>
    <w:p w:rsidR="00F74B60" w:rsidRDefault="00F74B60" w:rsidP="00F74B60"/>
    <w:p w:rsidR="00506586" w:rsidRDefault="00506586" w:rsidP="00F74B60"/>
    <w:p w:rsidR="00F74B60" w:rsidRDefault="00F74B60" w:rsidP="00F74B60">
      <w:pPr>
        <w:pStyle w:val="Header"/>
        <w:jc w:val="both"/>
        <w:rPr>
          <w:b/>
        </w:rPr>
      </w:pPr>
      <w:r>
        <w:tab/>
      </w:r>
      <w:r>
        <w:tab/>
      </w:r>
      <w:r>
        <w:tab/>
      </w:r>
      <w:r>
        <w:tab/>
      </w:r>
      <w:r>
        <w:tab/>
      </w:r>
      <w:r>
        <w:tab/>
      </w:r>
      <w:r>
        <w:rPr>
          <w:b/>
        </w:rPr>
        <w:tab/>
      </w:r>
    </w:p>
    <w:p w:rsidR="00F74B60" w:rsidRPr="006E7195" w:rsidRDefault="00F74B60" w:rsidP="00F74B60">
      <w:pPr>
        <w:pStyle w:val="Header"/>
        <w:ind w:firstLine="720"/>
        <w:jc w:val="both"/>
        <w:rPr>
          <w:b/>
        </w:rPr>
      </w:pPr>
      <w:r>
        <w:rPr>
          <w:b/>
        </w:rPr>
        <w:t>Re:</w:t>
      </w:r>
      <w:r w:rsidR="00506586">
        <w:rPr>
          <w:b/>
        </w:rPr>
        <w:t xml:space="preserve">  </w:t>
      </w:r>
      <w:r w:rsidR="00B60FCE">
        <w:rPr>
          <w:b/>
        </w:rPr>
        <w:t>July, 2013 Updates</w:t>
      </w:r>
    </w:p>
    <w:p w:rsidR="00F74B60" w:rsidRDefault="00F74B60" w:rsidP="00F74B60">
      <w:pPr>
        <w:pStyle w:val="Header"/>
        <w:jc w:val="both"/>
      </w:pPr>
    </w:p>
    <w:p w:rsidR="00F74B60" w:rsidRDefault="00F74B60" w:rsidP="00F74B60">
      <w:pPr>
        <w:pStyle w:val="Header"/>
        <w:jc w:val="both"/>
      </w:pPr>
    </w:p>
    <w:p w:rsidR="00F74B60" w:rsidRDefault="00F74B60" w:rsidP="00F74B60">
      <w:pPr>
        <w:pStyle w:val="Header"/>
        <w:jc w:val="both"/>
      </w:pPr>
      <w:r>
        <w:t xml:space="preserve">Dear </w:t>
      </w:r>
      <w:r w:rsidR="008D0C46">
        <w:t>Principal</w:t>
      </w:r>
      <w:r>
        <w:t>,</w:t>
      </w:r>
    </w:p>
    <w:p w:rsidR="00F74B60" w:rsidRDefault="00F74B60" w:rsidP="00F74B60">
      <w:pPr>
        <w:pStyle w:val="Header"/>
        <w:jc w:val="both"/>
      </w:pPr>
    </w:p>
    <w:p w:rsidR="00B60FCE" w:rsidRDefault="00B60FCE" w:rsidP="00B60FCE">
      <w:pPr>
        <w:pStyle w:val="Header"/>
        <w:tabs>
          <w:tab w:val="left" w:pos="720"/>
        </w:tabs>
        <w:jc w:val="both"/>
      </w:pPr>
      <w:r>
        <w:t xml:space="preserve">Recent events have necessitated updates to two MCE policies.  The Missouri Supreme Court’s decision in the </w:t>
      </w:r>
      <w:r w:rsidRPr="00092391">
        <w:rPr>
          <w:i/>
        </w:rPr>
        <w:t>Turner</w:t>
      </w:r>
      <w:r>
        <w:t xml:space="preserve"> case has necessitated modification of our existing student enrollment policy to provide for transfer of students from unaccredited school districts.  In addition, the State Board of Education gave final approval of a model for staff evaluation.</w:t>
      </w:r>
    </w:p>
    <w:p w:rsidR="00B60FCE" w:rsidRDefault="00B60FCE" w:rsidP="00F74B60">
      <w:pPr>
        <w:pStyle w:val="Header"/>
        <w:jc w:val="both"/>
      </w:pPr>
    </w:p>
    <w:p w:rsidR="00B60FCE" w:rsidRDefault="00B60FCE" w:rsidP="00B60FCE">
      <w:pPr>
        <w:pStyle w:val="Header"/>
        <w:tabs>
          <w:tab w:val="left" w:pos="720"/>
        </w:tabs>
        <w:jc w:val="both"/>
      </w:pPr>
      <w:r>
        <w:t xml:space="preserve">If </w:t>
      </w:r>
      <w:r>
        <w:rPr>
          <w:snapToGrid w:val="0"/>
        </w:rPr>
        <w:t>you have any questions concerning the new polic</w:t>
      </w:r>
      <w:r w:rsidR="00AB1AA0">
        <w:rPr>
          <w:snapToGrid w:val="0"/>
        </w:rPr>
        <w:t>y</w:t>
      </w:r>
      <w:r>
        <w:rPr>
          <w:snapToGrid w:val="0"/>
        </w:rPr>
        <w:t xml:space="preserve"> revisions, or navigating through our website, please feel free to call</w:t>
      </w:r>
      <w:r>
        <w:t xml:space="preserve"> me at the office, (314) 878-5600, or on MCE’s phone line, (</w:t>
      </w:r>
      <w:r w:rsidRPr="004D2720">
        <w:t>636</w:t>
      </w:r>
      <w:r>
        <w:t xml:space="preserve">) </w:t>
      </w:r>
      <w:r w:rsidRPr="004D2720">
        <w:t>405-0649</w:t>
      </w:r>
      <w:r>
        <w:t>.  The July, 2013 updates provide as follows:</w:t>
      </w:r>
    </w:p>
    <w:p w:rsidR="00B60FCE" w:rsidRDefault="00B60FCE" w:rsidP="00F74B60">
      <w:pPr>
        <w:pStyle w:val="Header"/>
        <w:jc w:val="both"/>
      </w:pPr>
    </w:p>
    <w:p w:rsidR="00506586" w:rsidRPr="00506586" w:rsidRDefault="00B60FCE" w:rsidP="00506586">
      <w:pPr>
        <w:pStyle w:val="Header"/>
        <w:jc w:val="center"/>
        <w:rPr>
          <w:b/>
          <w:u w:val="single"/>
        </w:rPr>
      </w:pPr>
      <w:r>
        <w:rPr>
          <w:b/>
          <w:u w:val="single"/>
        </w:rPr>
        <w:t>JULY</w:t>
      </w:r>
      <w:r w:rsidR="00506586" w:rsidRPr="00506586">
        <w:rPr>
          <w:b/>
          <w:u w:val="single"/>
        </w:rPr>
        <w:t xml:space="preserve"> 2013 POLICY</w:t>
      </w:r>
      <w:r w:rsidR="00AB1AA0">
        <w:rPr>
          <w:b/>
          <w:u w:val="single"/>
        </w:rPr>
        <w:t>,</w:t>
      </w:r>
      <w:r w:rsidR="00506586" w:rsidRPr="00506586">
        <w:rPr>
          <w:b/>
          <w:u w:val="single"/>
        </w:rPr>
        <w:t xml:space="preserve"> REGULATION </w:t>
      </w:r>
      <w:r w:rsidR="00AB1AA0">
        <w:rPr>
          <w:b/>
          <w:u w:val="single"/>
        </w:rPr>
        <w:t xml:space="preserve">AND FORM </w:t>
      </w:r>
      <w:r w:rsidR="00506586" w:rsidRPr="00506586">
        <w:rPr>
          <w:b/>
          <w:u w:val="single"/>
        </w:rPr>
        <w:t>UPDATES</w:t>
      </w:r>
    </w:p>
    <w:p w:rsidR="00F74B60" w:rsidRDefault="00F74B60" w:rsidP="00F74B60">
      <w:pPr>
        <w:pStyle w:val="Header"/>
        <w:jc w:val="both"/>
      </w:pPr>
    </w:p>
    <w:p w:rsidR="00EF7921" w:rsidRDefault="00EF7921" w:rsidP="001C61E0">
      <w:pPr>
        <w:jc w:val="both"/>
        <w:rPr>
          <w:b/>
          <w:u w:val="single"/>
        </w:rPr>
      </w:pPr>
    </w:p>
    <w:p w:rsidR="00B60FCE" w:rsidRDefault="00B60FCE" w:rsidP="001C61E0">
      <w:pPr>
        <w:jc w:val="both"/>
        <w:rPr>
          <w:b/>
          <w:u w:val="single"/>
        </w:rPr>
      </w:pPr>
      <w:r>
        <w:rPr>
          <w:b/>
          <w:u w:val="single"/>
        </w:rPr>
        <w:t>Policy and Regulation 2240 – Admission and Tuition – Nonresident Students</w:t>
      </w:r>
    </w:p>
    <w:p w:rsidR="00B60FCE" w:rsidRPr="00B60FCE" w:rsidRDefault="00B60FCE" w:rsidP="001C61E0">
      <w:pPr>
        <w:jc w:val="both"/>
      </w:pPr>
      <w:r>
        <w:t xml:space="preserve">The recent State Supreme Court’s decision requires </w:t>
      </w:r>
      <w:r w:rsidR="008D0C46" w:rsidRPr="00336955">
        <w:t>school</w:t>
      </w:r>
      <w:r w:rsidR="009308B5" w:rsidRPr="00336955">
        <w:t>s</w:t>
      </w:r>
      <w:r>
        <w:t xml:space="preserve"> to accept transfer students from unaccredited </w:t>
      </w:r>
      <w:r w:rsidR="00336955">
        <w:t xml:space="preserve">districts </w:t>
      </w:r>
      <w:r w:rsidRPr="00336955">
        <w:t>i</w:t>
      </w:r>
      <w:r>
        <w:t xml:space="preserve">n the same or adjoining </w:t>
      </w:r>
      <w:r w:rsidR="007F4E82">
        <w:t>counties</w:t>
      </w:r>
      <w:r>
        <w:t xml:space="preserve">.  A </w:t>
      </w:r>
      <w:r w:rsidR="007F4E82">
        <w:t>compliant</w:t>
      </w:r>
      <w:r>
        <w:t xml:space="preserve"> policy needs</w:t>
      </w:r>
      <w:r w:rsidR="00092391">
        <w:t xml:space="preserve"> </w:t>
      </w:r>
      <w:r>
        <w:t xml:space="preserve">to be in effect for the coming school year.  </w:t>
      </w:r>
      <w:r w:rsidRPr="00B60FCE">
        <w:rPr>
          <w:b/>
          <w:u w:val="single"/>
        </w:rPr>
        <w:t>Adoption is mandatory.</w:t>
      </w:r>
    </w:p>
    <w:p w:rsidR="00B60FCE" w:rsidRDefault="00B60FCE" w:rsidP="001C61E0">
      <w:pPr>
        <w:jc w:val="both"/>
        <w:rPr>
          <w:b/>
          <w:u w:val="single"/>
        </w:rPr>
      </w:pPr>
      <w:r>
        <w:rPr>
          <w:b/>
          <w:u w:val="single"/>
        </w:rPr>
        <w:t>Policy and Form 4610 – Certificated Personnel Performance Evaluations</w:t>
      </w:r>
    </w:p>
    <w:p w:rsidR="00B60FCE" w:rsidRPr="00B60FCE" w:rsidRDefault="00B60FCE" w:rsidP="001C61E0">
      <w:pPr>
        <w:jc w:val="both"/>
      </w:pPr>
      <w:r>
        <w:t xml:space="preserve">The </w:t>
      </w:r>
      <w:r w:rsidR="007F4E82">
        <w:t>State Board approved m</w:t>
      </w:r>
      <w:r>
        <w:t xml:space="preserve">odel is an option for Missouri </w:t>
      </w:r>
      <w:r w:rsidR="009308B5" w:rsidRPr="00336955">
        <w:t>schools</w:t>
      </w:r>
      <w:r>
        <w:t xml:space="preserve"> </w:t>
      </w:r>
      <w:r w:rsidR="00092391">
        <w:t>that</w:t>
      </w:r>
      <w:r>
        <w:t xml:space="preserve"> may adopt the model or choose an option which i</w:t>
      </w:r>
      <w:r w:rsidR="00F24983">
        <w:t>nc</w:t>
      </w:r>
      <w:r>
        <w:t>ludes the seven “Essential Prin</w:t>
      </w:r>
      <w:r w:rsidR="00F24983">
        <w:t>cip</w:t>
      </w:r>
      <w:r>
        <w:t>l</w:t>
      </w:r>
      <w:r w:rsidR="00F24983">
        <w:t>e</w:t>
      </w:r>
      <w:r>
        <w:t xml:space="preserve">s of Effective Evaluation.”  The changes in this Policy and related Form give </w:t>
      </w:r>
      <w:r w:rsidR="009308B5" w:rsidRPr="00336955">
        <w:t>schools</w:t>
      </w:r>
      <w:r>
        <w:t xml:space="preserve"> an alternative to the State’s Professional Development Model which bases teacher evaluation on student outcomes; as well as provide</w:t>
      </w:r>
      <w:r w:rsidR="00AB1AA0">
        <w:t>s</w:t>
      </w:r>
      <w:r>
        <w:t xml:space="preserve"> a process which facilitates removal of incompetent teachers; permits identification of teachers for reduction in force</w:t>
      </w:r>
      <w:r w:rsidR="00092391">
        <w:t>;</w:t>
      </w:r>
      <w:r>
        <w:t xml:space="preserve"> and</w:t>
      </w:r>
      <w:r w:rsidR="009A3078">
        <w:t xml:space="preserve"> provides a vehicle to defend employment decisions in court.  </w:t>
      </w:r>
      <w:r w:rsidR="009A3078" w:rsidRPr="009A3078">
        <w:rPr>
          <w:b/>
          <w:u w:val="single"/>
        </w:rPr>
        <w:t>Adoption is optional.</w:t>
      </w:r>
    </w:p>
    <w:p w:rsidR="00B60FCE" w:rsidRPr="009A3078" w:rsidRDefault="009A3078" w:rsidP="009A3078">
      <w:r>
        <w:t xml:space="preserve">We have attached a separate </w:t>
      </w:r>
      <w:r w:rsidR="007F4E82">
        <w:t xml:space="preserve">document </w:t>
      </w:r>
      <w:r>
        <w:t>which more fully explains the alternative Summative Evaluation form.</w:t>
      </w:r>
    </w:p>
    <w:p w:rsidR="00E36672" w:rsidRPr="00EF7921" w:rsidRDefault="00E36672" w:rsidP="008F177A">
      <w:pPr>
        <w:jc w:val="center"/>
        <w:rPr>
          <w:b/>
          <w:u w:val="single"/>
        </w:rPr>
      </w:pPr>
      <w:r w:rsidRPr="00EF7921">
        <w:rPr>
          <w:b/>
          <w:u w:val="single"/>
        </w:rPr>
        <w:lastRenderedPageBreak/>
        <w:t>BOARD ACTIONS</w:t>
      </w:r>
    </w:p>
    <w:p w:rsidR="00E36672" w:rsidRDefault="00E36672" w:rsidP="001C61E0">
      <w:pPr>
        <w:jc w:val="both"/>
      </w:pPr>
      <w:r>
        <w:t>Revised policies and regulations may be voted upon with a single motion as follows</w:t>
      </w:r>
      <w:r w:rsidR="00EF7921">
        <w:t>.  I</w:t>
      </w:r>
      <w:r>
        <w:t xml:space="preserve"> move to adopt the following policies and regulations:</w:t>
      </w:r>
    </w:p>
    <w:p w:rsidR="00E36672" w:rsidRDefault="009A3078" w:rsidP="00F24983">
      <w:pPr>
        <w:ind w:firstLine="720"/>
        <w:jc w:val="both"/>
      </w:pPr>
      <w:r>
        <w:t>Policy and Regulation 2240</w:t>
      </w:r>
    </w:p>
    <w:p w:rsidR="00B60FCE" w:rsidRDefault="009A3078" w:rsidP="00F24983">
      <w:pPr>
        <w:ind w:firstLine="720"/>
        <w:jc w:val="both"/>
      </w:pPr>
      <w:r>
        <w:t>Policy 4610</w:t>
      </w:r>
    </w:p>
    <w:p w:rsidR="00B60FCE" w:rsidRDefault="00B60FCE" w:rsidP="001C61E0">
      <w:pPr>
        <w:jc w:val="both"/>
      </w:pPr>
    </w:p>
    <w:p w:rsidR="004633B3" w:rsidRDefault="003A2856" w:rsidP="00885611">
      <w:r>
        <w:rPr>
          <w:noProof/>
        </w:rPr>
        <w:drawing>
          <wp:anchor distT="0" distB="0" distL="114300" distR="114300" simplePos="0" relativeHeight="251660288" behindDoc="0" locked="0" layoutInCell="1" allowOverlap="1" wp14:anchorId="32084073" wp14:editId="019D4523">
            <wp:simplePos x="0" y="0"/>
            <wp:positionH relativeFrom="column">
              <wp:posOffset>2567940</wp:posOffset>
            </wp:positionH>
            <wp:positionV relativeFrom="paragraph">
              <wp:posOffset>222967</wp:posOffset>
            </wp:positionV>
            <wp:extent cx="2242820" cy="6330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 Signature copy.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2820" cy="633095"/>
                    </a:xfrm>
                    <a:prstGeom prst="rect">
                      <a:avLst/>
                    </a:prstGeom>
                  </pic:spPr>
                </pic:pic>
              </a:graphicData>
            </a:graphic>
            <wp14:sizeRelH relativeFrom="page">
              <wp14:pctWidth>0</wp14:pctWidth>
            </wp14:sizeRelH>
            <wp14:sizeRelV relativeFrom="page">
              <wp14:pctHeight>0</wp14:pctHeight>
            </wp14:sizeRelV>
          </wp:anchor>
        </w:drawing>
      </w:r>
      <w:r w:rsidR="00336955">
        <w:tab/>
      </w:r>
      <w:bookmarkStart w:id="0" w:name="_GoBack"/>
      <w:bookmarkEnd w:id="0"/>
      <w:r w:rsidR="00885611">
        <w:tab/>
      </w:r>
      <w:r w:rsidR="00885611">
        <w:tab/>
      </w:r>
      <w:r w:rsidR="00885611">
        <w:tab/>
      </w:r>
      <w:r w:rsidR="004633B3">
        <w:tab/>
      </w:r>
      <w:r w:rsidR="004633B3">
        <w:tab/>
        <w:t>Sincerely,</w:t>
      </w:r>
    </w:p>
    <w:p w:rsidR="004633B3" w:rsidRDefault="004633B3" w:rsidP="004633B3">
      <w:pPr>
        <w:pStyle w:val="Header"/>
      </w:pPr>
    </w:p>
    <w:p w:rsidR="004633B3" w:rsidRDefault="004633B3" w:rsidP="004633B3">
      <w:pPr>
        <w:pStyle w:val="Header"/>
      </w:pPr>
      <w:r>
        <w:tab/>
      </w:r>
      <w:r>
        <w:tab/>
      </w:r>
      <w:r>
        <w:tab/>
      </w:r>
      <w:r>
        <w:tab/>
      </w:r>
      <w:r>
        <w:tab/>
        <w:t>MISSOURI CONSULTANTS FOR EDUCATION, LLC</w:t>
      </w:r>
    </w:p>
    <w:p w:rsidR="004633B3" w:rsidRDefault="004633B3" w:rsidP="004633B3">
      <w:pPr>
        <w:pStyle w:val="Header"/>
      </w:pPr>
    </w:p>
    <w:p w:rsidR="004633B3" w:rsidRDefault="004633B3" w:rsidP="004633B3">
      <w:pPr>
        <w:pStyle w:val="Header"/>
        <w:tabs>
          <w:tab w:val="clear" w:pos="4680"/>
          <w:tab w:val="left" w:pos="4410"/>
        </w:tabs>
      </w:pPr>
      <w:r>
        <w:tab/>
        <w:t>Thomas A. Mickes</w:t>
      </w:r>
    </w:p>
    <w:p w:rsidR="004633B3" w:rsidRDefault="004633B3" w:rsidP="004633B3">
      <w:pPr>
        <w:pStyle w:val="Header"/>
      </w:pPr>
      <w:r>
        <w:tab/>
      </w:r>
      <w:r>
        <w:tab/>
      </w:r>
      <w:r>
        <w:tab/>
      </w:r>
      <w:r>
        <w:tab/>
        <w:t>Thomas A. Mickes</w:t>
      </w:r>
    </w:p>
    <w:p w:rsidR="004633B3" w:rsidRDefault="004633B3" w:rsidP="004633B3">
      <w:pPr>
        <w:pStyle w:val="Header"/>
      </w:pPr>
      <w:r>
        <w:t>TAM/ndb</w:t>
      </w:r>
    </w:p>
    <w:p w:rsidR="00CC53C6" w:rsidRDefault="004633B3">
      <w:r>
        <w:t>Enclosures</w:t>
      </w:r>
    </w:p>
    <w:sectPr w:rsidR="00CC53C6" w:rsidSect="003B6B4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B60" w:rsidRDefault="00F74B60" w:rsidP="00F74B60">
      <w:pPr>
        <w:spacing w:after="0" w:line="240" w:lineRule="auto"/>
      </w:pPr>
      <w:r>
        <w:separator/>
      </w:r>
    </w:p>
  </w:endnote>
  <w:endnote w:type="continuationSeparator" w:id="0">
    <w:p w:rsidR="00F74B60" w:rsidRDefault="00F74B60" w:rsidP="00F74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5B" w:rsidRDefault="005F28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5B" w:rsidRPr="00336955" w:rsidRDefault="00336955" w:rsidP="00336955">
    <w:pPr>
      <w:pStyle w:val="Footer"/>
    </w:pPr>
    <w:r w:rsidRPr="00336955">
      <w:rPr>
        <w:noProof/>
        <w:vanish/>
        <w:sz w:val="16"/>
      </w:rPr>
      <w:t>{</w:t>
    </w:r>
    <w:r w:rsidRPr="00336955">
      <w:rPr>
        <w:noProof/>
        <w:sz w:val="16"/>
      </w:rPr>
      <w:t>MCE Letter enc July, 2013 Updates.1</w:t>
    </w:r>
    <w:r w:rsidRPr="00336955">
      <w:rPr>
        <w:noProof/>
        <w:vanish/>
        <w:sz w:val="16"/>
      </w:rPr>
      <w:t>}</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5B" w:rsidRPr="00336955" w:rsidRDefault="00336955" w:rsidP="00336955">
    <w:pPr>
      <w:pStyle w:val="Footer"/>
    </w:pPr>
    <w:r w:rsidRPr="00336955">
      <w:rPr>
        <w:noProof/>
        <w:vanish/>
        <w:sz w:val="16"/>
      </w:rPr>
      <w:t>{</w:t>
    </w:r>
    <w:r w:rsidRPr="00336955">
      <w:rPr>
        <w:noProof/>
        <w:sz w:val="16"/>
      </w:rPr>
      <w:t>MCE Letter enc July, 2013 Updates.1</w:t>
    </w:r>
    <w:r w:rsidRPr="00336955">
      <w:rPr>
        <w:noProof/>
        <w:vanish/>
        <w:sz w:val="16"/>
      </w:rPr>
      <w:t>}</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B60" w:rsidRDefault="00F74B60" w:rsidP="00F74B60">
      <w:pPr>
        <w:spacing w:after="0" w:line="240" w:lineRule="auto"/>
        <w:rPr>
          <w:noProof/>
        </w:rPr>
      </w:pPr>
      <w:r>
        <w:rPr>
          <w:noProof/>
        </w:rPr>
        <w:separator/>
      </w:r>
    </w:p>
  </w:footnote>
  <w:footnote w:type="continuationSeparator" w:id="0">
    <w:p w:rsidR="00F74B60" w:rsidRDefault="00F74B60" w:rsidP="00F74B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5B" w:rsidRDefault="005F28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B47" w:rsidRPr="005F285B" w:rsidRDefault="003B6B47" w:rsidP="005F28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5B" w:rsidRDefault="005F28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3C6"/>
    <w:rsid w:val="00092391"/>
    <w:rsid w:val="001503C9"/>
    <w:rsid w:val="001C61E0"/>
    <w:rsid w:val="00204AF4"/>
    <w:rsid w:val="002375C1"/>
    <w:rsid w:val="00336955"/>
    <w:rsid w:val="00356F11"/>
    <w:rsid w:val="003A2856"/>
    <w:rsid w:val="003B6B47"/>
    <w:rsid w:val="004633B3"/>
    <w:rsid w:val="00480AA9"/>
    <w:rsid w:val="004D2720"/>
    <w:rsid w:val="00506586"/>
    <w:rsid w:val="005F285B"/>
    <w:rsid w:val="00682C75"/>
    <w:rsid w:val="007343BB"/>
    <w:rsid w:val="007A1A6B"/>
    <w:rsid w:val="007F4E82"/>
    <w:rsid w:val="00885611"/>
    <w:rsid w:val="008D0C46"/>
    <w:rsid w:val="008F177A"/>
    <w:rsid w:val="009308B5"/>
    <w:rsid w:val="009A3078"/>
    <w:rsid w:val="009F51B6"/>
    <w:rsid w:val="00A02DC5"/>
    <w:rsid w:val="00A2738D"/>
    <w:rsid w:val="00AB1AA0"/>
    <w:rsid w:val="00AB33B8"/>
    <w:rsid w:val="00B60FCE"/>
    <w:rsid w:val="00B81001"/>
    <w:rsid w:val="00BE2600"/>
    <w:rsid w:val="00CA699A"/>
    <w:rsid w:val="00CC53C6"/>
    <w:rsid w:val="00DE7F12"/>
    <w:rsid w:val="00E34940"/>
    <w:rsid w:val="00E36672"/>
    <w:rsid w:val="00EF7921"/>
    <w:rsid w:val="00F24983"/>
    <w:rsid w:val="00F7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74B60"/>
    <w:pPr>
      <w:keepNext/>
      <w:spacing w:after="0" w:line="240" w:lineRule="auto"/>
      <w:jc w:val="right"/>
      <w:outlineLvl w:val="0"/>
    </w:pPr>
    <w:rPr>
      <w:rFonts w:ascii="Century Gothic" w:eastAsia="Times New Roman" w:hAnsi="Century Gothic" w:cs="Times New Roman"/>
      <w:b/>
      <w:sz w:val="34"/>
      <w:szCs w:val="34"/>
    </w:rPr>
  </w:style>
  <w:style w:type="paragraph" w:styleId="Heading2">
    <w:name w:val="heading 2"/>
    <w:basedOn w:val="Normal"/>
    <w:next w:val="Normal"/>
    <w:link w:val="Heading2Char"/>
    <w:qFormat/>
    <w:rsid w:val="00F74B60"/>
    <w:pPr>
      <w:keepNext/>
      <w:spacing w:after="0" w:line="240" w:lineRule="auto"/>
      <w:jc w:val="right"/>
      <w:outlineLvl w:val="1"/>
    </w:pPr>
    <w:rPr>
      <w:rFonts w:ascii="Century Gothic" w:eastAsia="Times New Roman" w:hAnsi="Century Gothic"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B60"/>
    <w:pPr>
      <w:tabs>
        <w:tab w:val="center" w:pos="4680"/>
        <w:tab w:val="right" w:pos="9360"/>
      </w:tabs>
      <w:spacing w:after="0" w:line="240" w:lineRule="auto"/>
    </w:pPr>
  </w:style>
  <w:style w:type="character" w:customStyle="1" w:styleId="HeaderChar">
    <w:name w:val="Header Char"/>
    <w:basedOn w:val="DefaultParagraphFont"/>
    <w:link w:val="Header"/>
    <w:rsid w:val="00F74B60"/>
  </w:style>
  <w:style w:type="paragraph" w:styleId="Footer">
    <w:name w:val="footer"/>
    <w:basedOn w:val="Normal"/>
    <w:link w:val="FooterChar"/>
    <w:uiPriority w:val="99"/>
    <w:unhideWhenUsed/>
    <w:rsid w:val="00F74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B60"/>
  </w:style>
  <w:style w:type="character" w:customStyle="1" w:styleId="Heading1Char">
    <w:name w:val="Heading 1 Char"/>
    <w:basedOn w:val="DefaultParagraphFont"/>
    <w:link w:val="Heading1"/>
    <w:rsid w:val="00F74B60"/>
    <w:rPr>
      <w:rFonts w:ascii="Century Gothic" w:eastAsia="Times New Roman" w:hAnsi="Century Gothic" w:cs="Times New Roman"/>
      <w:b/>
      <w:sz w:val="34"/>
      <w:szCs w:val="34"/>
    </w:rPr>
  </w:style>
  <w:style w:type="character" w:customStyle="1" w:styleId="Heading2Char">
    <w:name w:val="Heading 2 Char"/>
    <w:basedOn w:val="DefaultParagraphFont"/>
    <w:link w:val="Heading2"/>
    <w:rsid w:val="00F74B60"/>
    <w:rPr>
      <w:rFonts w:ascii="Century Gothic" w:eastAsia="Times New Roman" w:hAnsi="Century Gothic" w:cs="Times New Roman"/>
      <w:b/>
      <w:sz w:val="20"/>
      <w:szCs w:val="20"/>
    </w:rPr>
  </w:style>
  <w:style w:type="character" w:styleId="Hyperlink">
    <w:name w:val="Hyperlink"/>
    <w:basedOn w:val="DefaultParagraphFont"/>
    <w:rsid w:val="00F74B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74B60"/>
    <w:pPr>
      <w:keepNext/>
      <w:spacing w:after="0" w:line="240" w:lineRule="auto"/>
      <w:jc w:val="right"/>
      <w:outlineLvl w:val="0"/>
    </w:pPr>
    <w:rPr>
      <w:rFonts w:ascii="Century Gothic" w:eastAsia="Times New Roman" w:hAnsi="Century Gothic" w:cs="Times New Roman"/>
      <w:b/>
      <w:sz w:val="34"/>
      <w:szCs w:val="34"/>
    </w:rPr>
  </w:style>
  <w:style w:type="paragraph" w:styleId="Heading2">
    <w:name w:val="heading 2"/>
    <w:basedOn w:val="Normal"/>
    <w:next w:val="Normal"/>
    <w:link w:val="Heading2Char"/>
    <w:qFormat/>
    <w:rsid w:val="00F74B60"/>
    <w:pPr>
      <w:keepNext/>
      <w:spacing w:after="0" w:line="240" w:lineRule="auto"/>
      <w:jc w:val="right"/>
      <w:outlineLvl w:val="1"/>
    </w:pPr>
    <w:rPr>
      <w:rFonts w:ascii="Century Gothic" w:eastAsia="Times New Roman" w:hAnsi="Century Gothic"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B60"/>
    <w:pPr>
      <w:tabs>
        <w:tab w:val="center" w:pos="4680"/>
        <w:tab w:val="right" w:pos="9360"/>
      </w:tabs>
      <w:spacing w:after="0" w:line="240" w:lineRule="auto"/>
    </w:pPr>
  </w:style>
  <w:style w:type="character" w:customStyle="1" w:styleId="HeaderChar">
    <w:name w:val="Header Char"/>
    <w:basedOn w:val="DefaultParagraphFont"/>
    <w:link w:val="Header"/>
    <w:rsid w:val="00F74B60"/>
  </w:style>
  <w:style w:type="paragraph" w:styleId="Footer">
    <w:name w:val="footer"/>
    <w:basedOn w:val="Normal"/>
    <w:link w:val="FooterChar"/>
    <w:uiPriority w:val="99"/>
    <w:unhideWhenUsed/>
    <w:rsid w:val="00F74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B60"/>
  </w:style>
  <w:style w:type="character" w:customStyle="1" w:styleId="Heading1Char">
    <w:name w:val="Heading 1 Char"/>
    <w:basedOn w:val="DefaultParagraphFont"/>
    <w:link w:val="Heading1"/>
    <w:rsid w:val="00F74B60"/>
    <w:rPr>
      <w:rFonts w:ascii="Century Gothic" w:eastAsia="Times New Roman" w:hAnsi="Century Gothic" w:cs="Times New Roman"/>
      <w:b/>
      <w:sz w:val="34"/>
      <w:szCs w:val="34"/>
    </w:rPr>
  </w:style>
  <w:style w:type="character" w:customStyle="1" w:styleId="Heading2Char">
    <w:name w:val="Heading 2 Char"/>
    <w:basedOn w:val="DefaultParagraphFont"/>
    <w:link w:val="Heading2"/>
    <w:rsid w:val="00F74B60"/>
    <w:rPr>
      <w:rFonts w:ascii="Century Gothic" w:eastAsia="Times New Roman" w:hAnsi="Century Gothic" w:cs="Times New Roman"/>
      <w:b/>
      <w:sz w:val="20"/>
      <w:szCs w:val="20"/>
    </w:rPr>
  </w:style>
  <w:style w:type="character" w:styleId="Hyperlink">
    <w:name w:val="Hyperlink"/>
    <w:basedOn w:val="DefaultParagraphFont"/>
    <w:rsid w:val="00F74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oconed.com/"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1876</Characters>
  <Application>Microsoft Office Word</Application>
  <DocSecurity>0</DocSecurity>
  <PresentationFormat/>
  <Lines>53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MCE Letter enc July, 2013 Updates.DOCX</dc:title>
  <dc:subject>MCE Letter enc July, 2013 Updates.1/Font=8</dc:subject>
  <dc:creator/>
  <cp:lastModifiedBy/>
  <cp:revision>1</cp:revision>
  <dcterms:created xsi:type="dcterms:W3CDTF">2013-07-09T15:58:00Z</dcterms:created>
  <dcterms:modified xsi:type="dcterms:W3CDTF">2013-09-23T22:01:00Z</dcterms:modified>
</cp:coreProperties>
</file>