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60" w:rsidRDefault="00F74B60" w:rsidP="00F74B60">
      <w:pPr>
        <w:pStyle w:val="Heading1"/>
      </w:pPr>
      <w:r>
        <w:t>Missouri Consultants for Education, LLC</w:t>
      </w:r>
    </w:p>
    <w:p w:rsidR="00F74B60" w:rsidRDefault="00F74B60" w:rsidP="00E3494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19324 Deer Pointe Estates Dr</w:t>
      </w:r>
    </w:p>
    <w:p w:rsidR="00F74B60" w:rsidRDefault="00F74B60" w:rsidP="00E3494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Glencoe, Missouri 63038-1147</w:t>
      </w:r>
    </w:p>
    <w:p w:rsidR="00F74B60" w:rsidRDefault="00F74B60" w:rsidP="00E34940">
      <w:pPr>
        <w:pStyle w:val="Heading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-4445</wp:posOffset>
                </wp:positionV>
                <wp:extent cx="6435725" cy="1905"/>
                <wp:effectExtent l="9525" t="9525" r="12700" b="762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1905"/>
                        </a:xfrm>
                        <a:custGeom>
                          <a:avLst/>
                          <a:gdLst>
                            <a:gd name="T0" fmla="*/ 0 w 10135"/>
                            <a:gd name="T1" fmla="*/ 0 h 3"/>
                            <a:gd name="T2" fmla="*/ 10135 w 10135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135" h="3">
                              <a:moveTo>
                                <a:pt x="0" y="0"/>
                              </a:moveTo>
                              <a:lnTo>
                                <a:pt x="10135" y="3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9pt,-.35pt,497.75pt,-.2pt" coordsize="1013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" filled="f" strokeweight="1pt">
                <v:path arrowok="t" o:connecttype="custom" o:connectlocs="0,0;6435725,1905" o:connectangles="0,0"/>
              </v:polyline>
            </w:pict>
          </mc:Fallback>
        </mc:AlternateContent>
      </w:r>
      <w:r>
        <w:t xml:space="preserve">Telephone </w:t>
      </w:r>
      <w:r w:rsidR="004D2720" w:rsidRPr="004D2720">
        <w:t xml:space="preserve">: </w:t>
      </w:r>
      <w:r w:rsidR="004D2720">
        <w:t>(</w:t>
      </w:r>
      <w:r w:rsidR="004D2720" w:rsidRPr="004D2720">
        <w:t>636</w:t>
      </w:r>
      <w:r w:rsidR="004D2720">
        <w:t xml:space="preserve">) </w:t>
      </w:r>
      <w:r w:rsidR="004D2720" w:rsidRPr="004D2720">
        <w:t>405-0649</w:t>
      </w:r>
    </w:p>
    <w:p w:rsidR="00F74B60" w:rsidRDefault="00F74B60" w:rsidP="00E34940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(314) 878-5607</w:t>
      </w:r>
    </w:p>
    <w:p w:rsidR="00F74B60" w:rsidRDefault="00046ED2" w:rsidP="00E34940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hyperlink r:id="rId8" w:history="1">
        <w:r w:rsidR="00F74B60">
          <w:rPr>
            <w:rStyle w:val="Hyperlink"/>
            <w:rFonts w:ascii="Century Gothic" w:hAnsi="Century Gothic"/>
            <w:b/>
            <w:sz w:val="20"/>
            <w:szCs w:val="20"/>
          </w:rPr>
          <w:t>www.moconed.com</w:t>
        </w:r>
      </w:hyperlink>
    </w:p>
    <w:p w:rsidR="00F74B60" w:rsidRDefault="00F74B60" w:rsidP="00F74B60"/>
    <w:p w:rsidR="00506586" w:rsidRDefault="00506586" w:rsidP="00F74B60"/>
    <w:p w:rsidR="00F74B60" w:rsidRDefault="00F74B60" w:rsidP="00F74B60">
      <w:pPr>
        <w:pStyle w:val="Header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</w:p>
    <w:p w:rsidR="00F74B60" w:rsidRPr="006E7195" w:rsidRDefault="00F74B60" w:rsidP="00F74B60">
      <w:pPr>
        <w:pStyle w:val="Header"/>
        <w:ind w:firstLine="720"/>
        <w:jc w:val="both"/>
        <w:rPr>
          <w:b/>
        </w:rPr>
      </w:pPr>
      <w:r>
        <w:rPr>
          <w:b/>
        </w:rPr>
        <w:t>Re:</w:t>
      </w:r>
      <w:r w:rsidR="00506586">
        <w:rPr>
          <w:b/>
        </w:rPr>
        <w:t xml:space="preserve">  May, 2013</w:t>
      </w:r>
      <w:r>
        <w:rPr>
          <w:b/>
        </w:rPr>
        <w:t xml:space="preserve"> MCE Updates</w:t>
      </w:r>
    </w:p>
    <w:p w:rsidR="00F74B60" w:rsidRDefault="00F74B60" w:rsidP="00F74B60">
      <w:pPr>
        <w:pStyle w:val="Header"/>
        <w:jc w:val="both"/>
      </w:pPr>
    </w:p>
    <w:p w:rsidR="00F74B60" w:rsidRDefault="00F74B60" w:rsidP="00F74B60">
      <w:pPr>
        <w:pStyle w:val="Header"/>
        <w:jc w:val="both"/>
      </w:pPr>
    </w:p>
    <w:p w:rsidR="00F74B60" w:rsidRDefault="00F74B60" w:rsidP="00F74B60">
      <w:pPr>
        <w:pStyle w:val="Header"/>
        <w:jc w:val="both"/>
      </w:pPr>
      <w:r>
        <w:t xml:space="preserve">Dear </w:t>
      </w:r>
      <w:r w:rsidR="00C46E29">
        <w:t>Principal</w:t>
      </w:r>
      <w:r>
        <w:t>,</w:t>
      </w:r>
    </w:p>
    <w:p w:rsidR="00F74B60" w:rsidRDefault="00F74B60" w:rsidP="00F74B60">
      <w:pPr>
        <w:pStyle w:val="Header"/>
        <w:jc w:val="both"/>
      </w:pPr>
    </w:p>
    <w:p w:rsidR="00F74B60" w:rsidRDefault="00F74B60" w:rsidP="00F74B60">
      <w:pPr>
        <w:pStyle w:val="Header"/>
        <w:jc w:val="both"/>
      </w:pPr>
      <w:r>
        <w:tab/>
        <w:t xml:space="preserve">We have enclosed </w:t>
      </w:r>
      <w:r w:rsidR="00506586">
        <w:t>the May, 2013 Updates reflecting recent regulatory changes</w:t>
      </w:r>
      <w:r w:rsidR="00204AF4">
        <w:t>,</w:t>
      </w:r>
      <w:r w:rsidR="00506586">
        <w:t xml:space="preserve"> as well as</w:t>
      </w:r>
      <w:r w:rsidR="00204AF4">
        <w:t>,</w:t>
      </w:r>
      <w:r w:rsidR="00506586">
        <w:t xml:space="preserve"> safety and acceptable use standards.  If </w:t>
      </w:r>
      <w:r>
        <w:rPr>
          <w:snapToGrid w:val="0"/>
        </w:rPr>
        <w:t xml:space="preserve">you have any questions concerning the new polices and revisions, or navigating through </w:t>
      </w:r>
      <w:r w:rsidR="00506586">
        <w:rPr>
          <w:snapToGrid w:val="0"/>
        </w:rPr>
        <w:t xml:space="preserve">our </w:t>
      </w:r>
      <w:r>
        <w:rPr>
          <w:snapToGrid w:val="0"/>
        </w:rPr>
        <w:t>website, please feel free to call</w:t>
      </w:r>
      <w:r>
        <w:t xml:space="preserve"> me at the office, (314) 878-5600, or on MCE’s phone line, </w:t>
      </w:r>
      <w:r w:rsidR="004D2720">
        <w:t>(</w:t>
      </w:r>
      <w:r w:rsidR="004D2720" w:rsidRPr="004D2720">
        <w:t>636</w:t>
      </w:r>
      <w:r w:rsidR="004D2720">
        <w:t xml:space="preserve">) </w:t>
      </w:r>
      <w:r w:rsidR="004D2720" w:rsidRPr="004D2720">
        <w:t>405-0649</w:t>
      </w:r>
      <w:r>
        <w:t>.</w:t>
      </w:r>
    </w:p>
    <w:p w:rsidR="00506586" w:rsidRDefault="00506586" w:rsidP="00F74B60">
      <w:pPr>
        <w:pStyle w:val="Header"/>
        <w:jc w:val="both"/>
      </w:pPr>
    </w:p>
    <w:p w:rsidR="00506586" w:rsidRPr="00506586" w:rsidRDefault="00506586" w:rsidP="00506586">
      <w:pPr>
        <w:pStyle w:val="Header"/>
        <w:jc w:val="center"/>
        <w:rPr>
          <w:b/>
          <w:u w:val="single"/>
        </w:rPr>
      </w:pPr>
      <w:r w:rsidRPr="00506586">
        <w:rPr>
          <w:b/>
          <w:u w:val="single"/>
        </w:rPr>
        <w:t>MAY 2013 POLICY AND REGULATION UPDATES</w:t>
      </w:r>
    </w:p>
    <w:p w:rsidR="00F74B60" w:rsidRDefault="00F74B60" w:rsidP="00F74B60">
      <w:pPr>
        <w:pStyle w:val="Header"/>
        <w:jc w:val="both"/>
      </w:pPr>
    </w:p>
    <w:p w:rsidR="007343BB" w:rsidRPr="004D2720" w:rsidRDefault="00CC53C6" w:rsidP="001C61E0">
      <w:pPr>
        <w:jc w:val="both"/>
        <w:rPr>
          <w:b/>
          <w:u w:val="single"/>
        </w:rPr>
      </w:pPr>
      <w:r w:rsidRPr="004D2720">
        <w:rPr>
          <w:b/>
          <w:u w:val="single"/>
        </w:rPr>
        <w:t>Policy 2640 – Student Use of Tobacco, Alcohol and Drugs</w:t>
      </w:r>
    </w:p>
    <w:p w:rsidR="00CC53C6" w:rsidRDefault="00CC53C6" w:rsidP="001C61E0">
      <w:pPr>
        <w:jc w:val="both"/>
      </w:pPr>
      <w:r>
        <w:t>Th</w:t>
      </w:r>
      <w:r w:rsidR="00EF7921">
        <w:t>e</w:t>
      </w:r>
      <w:r>
        <w:t xml:space="preserve"> change</w:t>
      </w:r>
      <w:r w:rsidR="00EF7921">
        <w:t>s</w:t>
      </w:r>
      <w:r>
        <w:t xml:space="preserve"> reflect recent changes in Department of Education Regulations and OCR.  Our new policy further clarifies the </w:t>
      </w:r>
      <w:r w:rsidR="00046ED2">
        <w:t>school’s</w:t>
      </w:r>
      <w:r>
        <w:t xml:space="preserve"> right to place students with disabilities</w:t>
      </w:r>
      <w:r w:rsidR="004D2720">
        <w:t>,</w:t>
      </w:r>
      <w:r>
        <w:t xml:space="preserve"> found to be in violation of this policy</w:t>
      </w:r>
      <w:r w:rsidR="004D2720">
        <w:t>,</w:t>
      </w:r>
      <w:r>
        <w:t xml:space="preserve"> in alternative educational settings.  </w:t>
      </w:r>
      <w:r w:rsidRPr="004D2720">
        <w:rPr>
          <w:i/>
          <w:u w:val="single"/>
        </w:rPr>
        <w:t>Adoption is mandatory</w:t>
      </w:r>
      <w:r>
        <w:t>.</w:t>
      </w:r>
    </w:p>
    <w:p w:rsidR="00CC53C6" w:rsidRPr="004D2720" w:rsidRDefault="00CC53C6" w:rsidP="001C61E0">
      <w:pPr>
        <w:jc w:val="both"/>
        <w:rPr>
          <w:b/>
          <w:u w:val="single"/>
        </w:rPr>
      </w:pPr>
      <w:r w:rsidRPr="004D2720">
        <w:rPr>
          <w:b/>
          <w:u w:val="single"/>
        </w:rPr>
        <w:t xml:space="preserve">Policy 2815 – </w:t>
      </w:r>
      <w:r w:rsidR="00A2738D">
        <w:rPr>
          <w:b/>
          <w:u w:val="single"/>
        </w:rPr>
        <w:t>Contact and Involvement with Outside Agencies</w:t>
      </w:r>
    </w:p>
    <w:p w:rsidR="00CC53C6" w:rsidRPr="00EF7921" w:rsidRDefault="00CC53C6" w:rsidP="001C61E0">
      <w:pPr>
        <w:jc w:val="both"/>
        <w:rPr>
          <w:i/>
          <w:u w:val="single"/>
        </w:rPr>
      </w:pPr>
      <w:r>
        <w:t>Th</w:t>
      </w:r>
      <w:r w:rsidR="00EF7921">
        <w:t>e</w:t>
      </w:r>
      <w:r>
        <w:t xml:space="preserve"> policy change</w:t>
      </w:r>
      <w:r w:rsidR="00EF7921">
        <w:t>s</w:t>
      </w:r>
      <w:r>
        <w:t xml:space="preserve"> update our existing policy to comply with new federal regulations.  </w:t>
      </w:r>
      <w:r w:rsidRPr="00EF7921">
        <w:rPr>
          <w:i/>
          <w:u w:val="single"/>
        </w:rPr>
        <w:t>Adoption is mandatory</w:t>
      </w:r>
      <w:r w:rsidRPr="00EF7921">
        <w:rPr>
          <w:i/>
        </w:rPr>
        <w:t>.</w:t>
      </w:r>
    </w:p>
    <w:p w:rsidR="00CC53C6" w:rsidRPr="00EF7921" w:rsidRDefault="00CC53C6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Policy 5</w:t>
      </w:r>
      <w:r w:rsidR="00682C75">
        <w:rPr>
          <w:b/>
          <w:u w:val="single"/>
        </w:rPr>
        <w:t>260</w:t>
      </w:r>
      <w:r w:rsidRPr="00EF7921">
        <w:rPr>
          <w:b/>
          <w:u w:val="single"/>
        </w:rPr>
        <w:t xml:space="preserve"> – Safety Standards</w:t>
      </w:r>
    </w:p>
    <w:p w:rsidR="00CC53C6" w:rsidRDefault="00CC53C6" w:rsidP="001C61E0">
      <w:pPr>
        <w:jc w:val="both"/>
      </w:pPr>
      <w:r>
        <w:t xml:space="preserve">This is a new policy on which we worked collaboratively with MUSIC to assist </w:t>
      </w:r>
      <w:r w:rsidR="00046ED2">
        <w:t>schools</w:t>
      </w:r>
      <w:r>
        <w:t xml:space="preserve"> in controlling worker’s compensation claims.  </w:t>
      </w:r>
      <w:r w:rsidRPr="00EF7921">
        <w:rPr>
          <w:i/>
          <w:u w:val="single"/>
        </w:rPr>
        <w:t>Adoption is strongly recommended</w:t>
      </w:r>
      <w:r>
        <w:t>.</w:t>
      </w:r>
    </w:p>
    <w:p w:rsidR="00CC53C6" w:rsidRPr="00EF7921" w:rsidRDefault="00CC53C6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Policy 6140 – Services for Students with Disabilities</w:t>
      </w:r>
    </w:p>
    <w:p w:rsidR="00CC53C6" w:rsidRDefault="00CC53C6" w:rsidP="001C61E0">
      <w:pPr>
        <w:jc w:val="both"/>
      </w:pPr>
      <w:r>
        <w:t xml:space="preserve">The changes in this policy provide for educational services for students with disabilities and reflect recent changes in federal regulations.  </w:t>
      </w:r>
      <w:r w:rsidRPr="00EF7921">
        <w:rPr>
          <w:i/>
          <w:u w:val="single"/>
        </w:rPr>
        <w:t>Adoption is mandatory</w:t>
      </w:r>
      <w:r>
        <w:t>.</w:t>
      </w:r>
    </w:p>
    <w:p w:rsidR="008F177A" w:rsidRDefault="008F177A">
      <w:r>
        <w:br w:type="page"/>
      </w:r>
    </w:p>
    <w:p w:rsidR="00CC53C6" w:rsidRDefault="00CC53C6" w:rsidP="001C61E0">
      <w:pPr>
        <w:jc w:val="both"/>
      </w:pPr>
    </w:p>
    <w:p w:rsidR="00CC53C6" w:rsidRPr="00EF7921" w:rsidRDefault="00CC53C6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 xml:space="preserve">Policy 6260 – Educational </w:t>
      </w:r>
      <w:r w:rsidR="00A2738D">
        <w:rPr>
          <w:b/>
          <w:u w:val="single"/>
        </w:rPr>
        <w:t>Surrogate</w:t>
      </w:r>
    </w:p>
    <w:p w:rsidR="00CC53C6" w:rsidRDefault="00CC53C6" w:rsidP="001C61E0">
      <w:pPr>
        <w:jc w:val="both"/>
      </w:pPr>
      <w:r>
        <w:t xml:space="preserve">The policy change requires the </w:t>
      </w:r>
      <w:r w:rsidR="00C46E29">
        <w:t>school</w:t>
      </w:r>
      <w:r>
        <w:t xml:space="preserve"> to identify the </w:t>
      </w:r>
      <w:r w:rsidR="00046ED2">
        <w:t>school</w:t>
      </w:r>
      <w:r>
        <w:t xml:space="preserve"> employee whose responsibility </w:t>
      </w:r>
      <w:r w:rsidR="00CA699A">
        <w:t xml:space="preserve">it </w:t>
      </w:r>
      <w:r>
        <w:t xml:space="preserve">is to oversee the surrogate program.  </w:t>
      </w:r>
      <w:r w:rsidRPr="00EF7921">
        <w:rPr>
          <w:i/>
          <w:u w:val="single"/>
        </w:rPr>
        <w:t>Adoption is mandatory</w:t>
      </w:r>
      <w:r>
        <w:t>.</w:t>
      </w:r>
    </w:p>
    <w:p w:rsidR="00CC53C6" w:rsidRPr="00EF7921" w:rsidRDefault="00CC53C6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1405 – Parent/Family Involvement in Education</w:t>
      </w:r>
    </w:p>
    <w:p w:rsidR="00CC53C6" w:rsidRDefault="00CC53C6" w:rsidP="001C61E0">
      <w:pPr>
        <w:jc w:val="both"/>
      </w:pPr>
      <w:r>
        <w:t xml:space="preserve">The changes in this </w:t>
      </w:r>
      <w:r w:rsidR="00EF7921">
        <w:t>r</w:t>
      </w:r>
      <w:r>
        <w:t xml:space="preserve">egulation reflect DESE’s Self-Monitoring Checklist designed to fulfill the </w:t>
      </w:r>
      <w:r w:rsidR="00C46E29">
        <w:t>School</w:t>
      </w:r>
      <w:r>
        <w:t xml:space="preserve">’s responsibility under NCLB Federal Programs.   The regulation also modifies our grievance procedure to be consistent with DESE’s recommendation.  </w:t>
      </w:r>
      <w:r w:rsidRPr="00EF7921">
        <w:rPr>
          <w:i/>
          <w:u w:val="single"/>
        </w:rPr>
        <w:t>Adoption is strongly recommended</w:t>
      </w:r>
      <w:r>
        <w:t xml:space="preserve">.  </w:t>
      </w:r>
    </w:p>
    <w:p w:rsidR="00CC53C6" w:rsidRPr="00EF7921" w:rsidRDefault="00CC53C6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1621 – Title I</w:t>
      </w:r>
    </w:p>
    <w:p w:rsidR="00CC53C6" w:rsidRDefault="00CC53C6" w:rsidP="001C61E0">
      <w:pPr>
        <w:jc w:val="both"/>
      </w:pPr>
      <w:r>
        <w:t xml:space="preserve">The changes in our </w:t>
      </w:r>
      <w:r w:rsidR="00E36672">
        <w:t>regulation reflect DESE Self-Monitoring Checklist</w:t>
      </w:r>
      <w:r w:rsidR="00EF7921">
        <w:t>,</w:t>
      </w:r>
      <w:r w:rsidR="00E36672">
        <w:t xml:space="preserve"> as well as</w:t>
      </w:r>
      <w:r w:rsidR="00EF7921">
        <w:t>,</w:t>
      </w:r>
      <w:r w:rsidR="00E36672">
        <w:t xml:space="preserve"> modifying our grievance procedure to be consistent with DESE’s recommendation.  </w:t>
      </w:r>
      <w:r w:rsidR="00E36672" w:rsidRPr="00EF7921">
        <w:rPr>
          <w:i/>
          <w:u w:val="single"/>
        </w:rPr>
        <w:t>Adoption is strongly recommended</w:t>
      </w:r>
      <w:r w:rsidR="00E36672">
        <w:t>.</w:t>
      </w:r>
    </w:p>
    <w:p w:rsidR="00E36672" w:rsidRPr="00EF7921" w:rsidRDefault="00E36672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2110 – Equal Education Opportunity/</w:t>
      </w:r>
      <w:r w:rsidR="00A2738D">
        <w:rPr>
          <w:rFonts w:cstheme="minorHAnsi"/>
          <w:b/>
          <w:u w:val="single"/>
        </w:rPr>
        <w:t>§</w:t>
      </w:r>
      <w:r w:rsidRPr="00EF7921">
        <w:rPr>
          <w:b/>
          <w:u w:val="single"/>
        </w:rPr>
        <w:t xml:space="preserve"> 504 Procedural Safeguards</w:t>
      </w:r>
    </w:p>
    <w:p w:rsidR="00E36672" w:rsidRDefault="00E36672" w:rsidP="001C61E0">
      <w:pPr>
        <w:jc w:val="both"/>
      </w:pPr>
      <w:r>
        <w:t xml:space="preserve">This regulation is a remake of our existing regulation to be consistent with recent federal regulations.  We are grateful to Teri Goldman for her authorship of this revision.  </w:t>
      </w:r>
      <w:r w:rsidRPr="00EF7921">
        <w:rPr>
          <w:i/>
          <w:u w:val="single"/>
        </w:rPr>
        <w:t>Adoption is mandatory</w:t>
      </w:r>
      <w:r>
        <w:t>.</w:t>
      </w:r>
    </w:p>
    <w:p w:rsidR="00E36672" w:rsidRPr="00EF7921" w:rsidRDefault="00E36672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2620 – Firearms and Weapons in School</w:t>
      </w:r>
    </w:p>
    <w:p w:rsidR="00E36672" w:rsidRDefault="00E36672" w:rsidP="001C61E0">
      <w:pPr>
        <w:jc w:val="both"/>
      </w:pPr>
      <w:r>
        <w:t xml:space="preserve">The recommended changes reflect recent changes in federal regulations.  </w:t>
      </w:r>
      <w:r w:rsidRPr="00EF7921">
        <w:rPr>
          <w:i/>
          <w:u w:val="single"/>
        </w:rPr>
        <w:t>Adoption is strongly recommended</w:t>
      </w:r>
      <w:r>
        <w:t>.</w:t>
      </w:r>
    </w:p>
    <w:p w:rsidR="00CC53C6" w:rsidRPr="00EF7921" w:rsidRDefault="00E36672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5620 – Student Transportation Services</w:t>
      </w:r>
    </w:p>
    <w:p w:rsidR="00E36672" w:rsidRDefault="00E36672" w:rsidP="001C61E0">
      <w:pPr>
        <w:jc w:val="both"/>
      </w:pPr>
      <w:r>
        <w:t>Our recommended changes reflect federal regulations particularly where suspension from transportation services to a disabled child results in</w:t>
      </w:r>
      <w:r w:rsidR="00CA699A">
        <w:t xml:space="preserve"> the </w:t>
      </w:r>
      <w:r>
        <w:t>student</w:t>
      </w:r>
      <w:r w:rsidR="00CA699A">
        <w:t>’s</w:t>
      </w:r>
      <w:r>
        <w:t xml:space="preserve"> absence from school and special education services.  </w:t>
      </w:r>
      <w:r w:rsidRPr="00EF7921">
        <w:rPr>
          <w:i/>
          <w:u w:val="single"/>
        </w:rPr>
        <w:t>Adoption is mandatory</w:t>
      </w:r>
      <w:r>
        <w:t>.</w:t>
      </w:r>
    </w:p>
    <w:p w:rsidR="00E36672" w:rsidRPr="00EF7921" w:rsidRDefault="00E36672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6275 – Homebound Instruction for Non-Disabled Students</w:t>
      </w:r>
    </w:p>
    <w:p w:rsidR="00E36672" w:rsidRDefault="00E36672" w:rsidP="001C61E0">
      <w:pPr>
        <w:jc w:val="both"/>
      </w:pPr>
      <w:r>
        <w:t xml:space="preserve">Our recommended changes reflect changes in federal and state regulations. </w:t>
      </w:r>
      <w:r w:rsidRPr="00EF7921">
        <w:rPr>
          <w:i/>
          <w:u w:val="single"/>
        </w:rPr>
        <w:t>Adoption is mandatory</w:t>
      </w:r>
      <w:r>
        <w:t>.</w:t>
      </w:r>
    </w:p>
    <w:p w:rsidR="00E36672" w:rsidRPr="00EF7921" w:rsidRDefault="00E36672" w:rsidP="001C61E0">
      <w:pPr>
        <w:jc w:val="both"/>
        <w:rPr>
          <w:b/>
          <w:u w:val="single"/>
        </w:rPr>
      </w:pPr>
      <w:r w:rsidRPr="00EF7921">
        <w:rPr>
          <w:b/>
          <w:u w:val="single"/>
        </w:rPr>
        <w:t>Regulation 6320 – Internet Usage</w:t>
      </w:r>
    </w:p>
    <w:p w:rsidR="00E36672" w:rsidRDefault="00E36672" w:rsidP="001C61E0">
      <w:pPr>
        <w:jc w:val="both"/>
      </w:pPr>
      <w:r>
        <w:t xml:space="preserve">The Children’s Internet Protection Act (CIPA) requires among other things that the </w:t>
      </w:r>
      <w:r w:rsidR="00046ED2">
        <w:t>schools</w:t>
      </w:r>
      <w:r>
        <w:t xml:space="preserve"> continually monitor their internet system to </w:t>
      </w:r>
      <w:r w:rsidR="00CA699A">
        <w:t>block</w:t>
      </w:r>
      <w:r>
        <w:t xml:space="preserve"> access</w:t>
      </w:r>
      <w:r w:rsidR="00EF7921">
        <w:t>es</w:t>
      </w:r>
      <w:r>
        <w:t xml:space="preserve"> to pornography</w:t>
      </w:r>
      <w:r w:rsidR="00EF7921">
        <w:t>,</w:t>
      </w:r>
      <w:r>
        <w:t xml:space="preserve"> obscenity and other material that is deemed to be inappropriate for students.  Recently, a number of software creat</w:t>
      </w:r>
      <w:r w:rsidR="00EF7921">
        <w:t>ors</w:t>
      </w:r>
      <w:r>
        <w:t xml:space="preserve"> have developed websites that allow staff and students to use “diversionary” sites to hide accesses to pornographic and other inappropriate sites. </w:t>
      </w:r>
      <w:r w:rsidR="00CA699A">
        <w:t xml:space="preserve">Our proposed changes make accessing these diversionary or masking sites a dismissible offense. </w:t>
      </w:r>
      <w:r>
        <w:t xml:space="preserve"> </w:t>
      </w:r>
      <w:r w:rsidRPr="00EF7921">
        <w:rPr>
          <w:i/>
          <w:u w:val="single"/>
        </w:rPr>
        <w:t>Adoption is highly recommended</w:t>
      </w:r>
      <w:r>
        <w:t>.</w:t>
      </w:r>
    </w:p>
    <w:p w:rsidR="00EF7921" w:rsidRDefault="00EF7921" w:rsidP="001C61E0">
      <w:pPr>
        <w:jc w:val="both"/>
        <w:rPr>
          <w:b/>
          <w:u w:val="single"/>
        </w:rPr>
      </w:pPr>
      <w:r>
        <w:rPr>
          <w:b/>
          <w:u w:val="single"/>
        </w:rPr>
        <w:br w:type="page"/>
      </w:r>
    </w:p>
    <w:p w:rsidR="00E36672" w:rsidRPr="00EF7921" w:rsidRDefault="00E36672" w:rsidP="008F177A">
      <w:pPr>
        <w:jc w:val="center"/>
        <w:rPr>
          <w:b/>
          <w:u w:val="single"/>
        </w:rPr>
      </w:pPr>
      <w:r w:rsidRPr="00EF7921">
        <w:rPr>
          <w:b/>
          <w:u w:val="single"/>
        </w:rPr>
        <w:lastRenderedPageBreak/>
        <w:t>BOARD ACTIONS</w:t>
      </w:r>
    </w:p>
    <w:p w:rsidR="00E36672" w:rsidRDefault="00E36672" w:rsidP="001C61E0">
      <w:pPr>
        <w:jc w:val="both"/>
      </w:pPr>
      <w:r>
        <w:t>Revised policies and regulations may be voted upon with a single motion as follows</w:t>
      </w:r>
      <w:r w:rsidR="00EF7921">
        <w:t>.  I</w:t>
      </w:r>
      <w:r>
        <w:t xml:space="preserve"> move to adopt the following policies and regulations:</w:t>
      </w:r>
    </w:p>
    <w:p w:rsidR="00EF7921" w:rsidRDefault="00B81001" w:rsidP="001C61E0">
      <w:pPr>
        <w:spacing w:after="0" w:line="240" w:lineRule="auto"/>
        <w:jc w:val="both"/>
      </w:pPr>
      <w:r>
        <w:t>Policy 2640</w:t>
      </w:r>
    </w:p>
    <w:p w:rsidR="00B81001" w:rsidRDefault="00B81001" w:rsidP="001C61E0">
      <w:pPr>
        <w:spacing w:after="0" w:line="240" w:lineRule="auto"/>
        <w:jc w:val="both"/>
      </w:pPr>
      <w:r>
        <w:t>Policy 2815</w:t>
      </w:r>
    </w:p>
    <w:p w:rsidR="00AB33B8" w:rsidRDefault="00AB33B8" w:rsidP="001C61E0">
      <w:pPr>
        <w:spacing w:after="0" w:line="240" w:lineRule="auto"/>
        <w:jc w:val="both"/>
      </w:pPr>
      <w:r>
        <w:t>Policy 5260</w:t>
      </w:r>
    </w:p>
    <w:p w:rsidR="00B81001" w:rsidRDefault="00B81001" w:rsidP="001C61E0">
      <w:pPr>
        <w:spacing w:after="0" w:line="240" w:lineRule="auto"/>
        <w:jc w:val="both"/>
      </w:pPr>
      <w:r>
        <w:t>Policy 6140</w:t>
      </w:r>
    </w:p>
    <w:p w:rsidR="00B81001" w:rsidRDefault="00B81001" w:rsidP="001C61E0">
      <w:pPr>
        <w:spacing w:after="0" w:line="240" w:lineRule="auto"/>
        <w:jc w:val="both"/>
      </w:pPr>
      <w:r>
        <w:t>Policy 6260</w:t>
      </w:r>
    </w:p>
    <w:p w:rsidR="00B81001" w:rsidRDefault="00B81001" w:rsidP="001C61E0">
      <w:pPr>
        <w:spacing w:after="0" w:line="240" w:lineRule="auto"/>
        <w:jc w:val="both"/>
      </w:pPr>
      <w:r>
        <w:t>Regulation 1405</w:t>
      </w:r>
    </w:p>
    <w:p w:rsidR="00B81001" w:rsidRDefault="00B81001" w:rsidP="001C61E0">
      <w:pPr>
        <w:spacing w:after="0" w:line="240" w:lineRule="auto"/>
        <w:jc w:val="both"/>
      </w:pPr>
      <w:r>
        <w:t>Regulation 1621</w:t>
      </w:r>
    </w:p>
    <w:p w:rsidR="00B81001" w:rsidRDefault="00B81001" w:rsidP="001C61E0">
      <w:pPr>
        <w:spacing w:after="0" w:line="240" w:lineRule="auto"/>
        <w:jc w:val="both"/>
      </w:pPr>
      <w:r>
        <w:t>Regulation 2110</w:t>
      </w:r>
    </w:p>
    <w:p w:rsidR="00B81001" w:rsidRDefault="00B81001" w:rsidP="001C61E0">
      <w:pPr>
        <w:spacing w:after="0" w:line="240" w:lineRule="auto"/>
        <w:jc w:val="both"/>
      </w:pPr>
      <w:r>
        <w:t>Regulation 2620</w:t>
      </w:r>
    </w:p>
    <w:p w:rsidR="00480AA9" w:rsidRDefault="00480AA9" w:rsidP="00480AA9">
      <w:pPr>
        <w:spacing w:after="0" w:line="240" w:lineRule="auto"/>
        <w:jc w:val="both"/>
      </w:pPr>
      <w:r>
        <w:t>Regulation 5620</w:t>
      </w:r>
    </w:p>
    <w:p w:rsidR="00B81001" w:rsidRDefault="00B81001" w:rsidP="001C61E0">
      <w:pPr>
        <w:spacing w:after="0" w:line="240" w:lineRule="auto"/>
        <w:jc w:val="both"/>
      </w:pPr>
      <w:r>
        <w:t>Regulation 6275</w:t>
      </w:r>
    </w:p>
    <w:p w:rsidR="00B81001" w:rsidRDefault="00B81001" w:rsidP="001C61E0">
      <w:pPr>
        <w:spacing w:after="0" w:line="240" w:lineRule="auto"/>
        <w:jc w:val="both"/>
      </w:pPr>
      <w:r>
        <w:t>Regulation 6320</w:t>
      </w:r>
    </w:p>
    <w:p w:rsidR="00EF7921" w:rsidRDefault="00EF7921" w:rsidP="001C61E0">
      <w:pPr>
        <w:jc w:val="both"/>
      </w:pPr>
    </w:p>
    <w:p w:rsidR="00E36672" w:rsidRDefault="00E36672" w:rsidP="001C61E0">
      <w:pPr>
        <w:jc w:val="both"/>
      </w:pPr>
      <w:r>
        <w:t>The State Board recently approved DESE’s model evaluation procedures.  This is the same or similar procedures that ha</w:t>
      </w:r>
      <w:r w:rsidR="00EF7921">
        <w:t>ve</w:t>
      </w:r>
      <w:r>
        <w:t xml:space="preserve"> been field</w:t>
      </w:r>
      <w:r w:rsidR="00EF7921">
        <w:t>-</w:t>
      </w:r>
      <w:r>
        <w:t xml:space="preserve">tested </w:t>
      </w:r>
      <w:r w:rsidR="00EF7921">
        <w:t>d</w:t>
      </w:r>
      <w:r>
        <w:t>u</w:t>
      </w:r>
      <w:r w:rsidR="00EF7921">
        <w:t>r</w:t>
      </w:r>
      <w:r>
        <w:t xml:space="preserve">ing this past year.  In my opinion, the State model is a professional development model.  As many of you know, I </w:t>
      </w:r>
      <w:r w:rsidRPr="00CA699A">
        <w:t xml:space="preserve">have lamented the </w:t>
      </w:r>
      <w:r w:rsidR="00CA699A" w:rsidRPr="00CA699A">
        <w:t xml:space="preserve">intermingling </w:t>
      </w:r>
      <w:r w:rsidRPr="00CA699A">
        <w:t>of</w:t>
      </w:r>
      <w:r>
        <w:t xml:space="preserve"> professional development criteria into performance evaluation.  It is</w:t>
      </w:r>
      <w:r w:rsidR="00EF7921">
        <w:t>,</w:t>
      </w:r>
      <w:r>
        <w:t xml:space="preserve"> and has been my opinion</w:t>
      </w:r>
      <w:r w:rsidR="00EF7921">
        <w:t>,</w:t>
      </w:r>
      <w:r>
        <w:t xml:space="preserve"> that performance evaluation and professional development function best when they are separate and distinct.  This new growth model will be problematic when </w:t>
      </w:r>
      <w:r w:rsidR="00C46E29">
        <w:t>schools</w:t>
      </w:r>
      <w:r>
        <w:t xml:space="preserve"> attempt to remove</w:t>
      </w:r>
      <w:r w:rsidR="00EF7921">
        <w:t xml:space="preserve"> </w:t>
      </w:r>
      <w:r>
        <w:t>incompetent teachers.  We will</w:t>
      </w:r>
      <w:r w:rsidR="00EF7921">
        <w:t xml:space="preserve"> </w:t>
      </w:r>
      <w:r>
        <w:t>be forwarding a performance evaluation system that satisfies DESE</w:t>
      </w:r>
      <w:r w:rsidR="00EF7921">
        <w:t>’s</w:t>
      </w:r>
      <w:r>
        <w:t xml:space="preserve"> seven points</w:t>
      </w:r>
      <w:r w:rsidR="00EF7921">
        <w:t>,</w:t>
      </w:r>
      <w:r>
        <w:t xml:space="preserve"> but provides a ve</w:t>
      </w:r>
      <w:r w:rsidR="00EF7921">
        <w:t>hicle to</w:t>
      </w:r>
      <w:r>
        <w:t xml:space="preserve"> assi</w:t>
      </w:r>
      <w:r w:rsidR="00EF7921">
        <w:t>s</w:t>
      </w:r>
      <w:r>
        <w:t>t district</w:t>
      </w:r>
      <w:r w:rsidR="00EF7921">
        <w:t>s</w:t>
      </w:r>
      <w:r>
        <w:t xml:space="preserve"> in the removal of teachers whose performance is harming students.  </w:t>
      </w:r>
      <w:r w:rsidR="00C46E29">
        <w:t>Schools</w:t>
      </w:r>
      <w:r>
        <w:t xml:space="preserve"> may cho</w:t>
      </w:r>
      <w:r w:rsidR="00EF7921">
        <w:t>o</w:t>
      </w:r>
      <w:r>
        <w:t>se to use this MCE model as their evaluation procedure</w:t>
      </w:r>
      <w:r w:rsidR="00EF7921">
        <w:t>,</w:t>
      </w:r>
      <w:r>
        <w:t xml:space="preserve"> or to </w:t>
      </w:r>
      <w:r w:rsidR="00CA699A">
        <w:t>use for identified poor</w:t>
      </w:r>
      <w:r>
        <w:t xml:space="preserve"> perform</w:t>
      </w:r>
      <w:r w:rsidR="00EF7921">
        <w:t>e</w:t>
      </w:r>
      <w:r>
        <w:t xml:space="preserve">rs, for </w:t>
      </w:r>
      <w:r w:rsidR="00885611">
        <w:t>whom</w:t>
      </w:r>
      <w:r>
        <w:t xml:space="preserve"> a growth model is </w:t>
      </w:r>
      <w:r w:rsidR="00885611">
        <w:t>n</w:t>
      </w:r>
      <w:r>
        <w:t>ot</w:t>
      </w:r>
      <w:r w:rsidR="00885611">
        <w:t>,</w:t>
      </w:r>
      <w:r>
        <w:t xml:space="preserve"> in my opinion</w:t>
      </w:r>
      <w:r w:rsidR="00885611">
        <w:t>,</w:t>
      </w:r>
      <w:r>
        <w:t xml:space="preserve"> helpful.</w:t>
      </w:r>
    </w:p>
    <w:p w:rsidR="00E36672" w:rsidRDefault="00E36672" w:rsidP="001C61E0">
      <w:pPr>
        <w:jc w:val="both"/>
      </w:pPr>
      <w:r>
        <w:t>Finally</w:t>
      </w:r>
      <w:r w:rsidR="00885611">
        <w:t>,</w:t>
      </w:r>
      <w:r>
        <w:t xml:space="preserve"> MGO Creative Training Solutions</w:t>
      </w:r>
      <w:r w:rsidR="00885611">
        <w:t>’</w:t>
      </w:r>
      <w:r>
        <w:t xml:space="preserve"> latest training DVD on practical sexual abuse training will be available prior to our Sum</w:t>
      </w:r>
      <w:r w:rsidR="00885611">
        <w:t>m</w:t>
      </w:r>
      <w:r>
        <w:t>er</w:t>
      </w:r>
      <w:r w:rsidR="00885611">
        <w:t xml:space="preserve"> </w:t>
      </w:r>
      <w:r>
        <w:t>L</w:t>
      </w:r>
      <w:r w:rsidR="00885611">
        <w:t>a</w:t>
      </w:r>
      <w:r>
        <w:t xml:space="preserve">w Seminars.  </w:t>
      </w:r>
    </w:p>
    <w:p w:rsidR="00E36672" w:rsidRDefault="00E36672" w:rsidP="001C61E0">
      <w:pPr>
        <w:jc w:val="both"/>
      </w:pPr>
    </w:p>
    <w:p w:rsidR="004633B3" w:rsidRPr="00E86619" w:rsidRDefault="004633B3" w:rsidP="008F177A">
      <w:pPr>
        <w:tabs>
          <w:tab w:val="left" w:pos="720"/>
          <w:tab w:val="left" w:pos="5040"/>
          <w:tab w:val="left" w:pos="7200"/>
          <w:tab w:val="right" w:pos="8460"/>
        </w:tabs>
        <w:jc w:val="center"/>
        <w:rPr>
          <w:b/>
          <w:u w:val="single"/>
        </w:rPr>
      </w:pPr>
      <w:r w:rsidRPr="00E86619">
        <w:rPr>
          <w:b/>
          <w:u w:val="single"/>
        </w:rPr>
        <w:t>20</w:t>
      </w:r>
      <w:r>
        <w:rPr>
          <w:b/>
          <w:u w:val="single"/>
        </w:rPr>
        <w:t>13</w:t>
      </w:r>
      <w:r w:rsidRPr="00E86619">
        <w:rPr>
          <w:b/>
          <w:u w:val="single"/>
        </w:rPr>
        <w:t xml:space="preserve"> </w:t>
      </w:r>
      <w:r>
        <w:rPr>
          <w:b/>
          <w:u w:val="single"/>
        </w:rPr>
        <w:t xml:space="preserve">MICKES GOLDMAN O’TOOLE </w:t>
      </w:r>
      <w:r w:rsidRPr="00E86619">
        <w:rPr>
          <w:b/>
          <w:u w:val="single"/>
        </w:rPr>
        <w:t>SCHOOL LAW SEMINARS</w:t>
      </w:r>
    </w:p>
    <w:p w:rsidR="004633B3" w:rsidRPr="0062660F" w:rsidRDefault="004633B3" w:rsidP="001C61E0">
      <w:pPr>
        <w:jc w:val="both"/>
        <w:rPr>
          <w:rFonts w:ascii="Century" w:hAnsi="Century"/>
        </w:rPr>
      </w:pPr>
      <w:r>
        <w:t>Mickes Goldman O’Toole, LLC is proud to announce thei</w:t>
      </w:r>
      <w:bookmarkStart w:id="0" w:name="_GoBack"/>
      <w:bookmarkEnd w:id="0"/>
      <w:r>
        <w:t>r 2013 School Law Seminars.   The dates, locations, and topics for the 30</w:t>
      </w:r>
      <w:r>
        <w:rPr>
          <w:vertAlign w:val="superscript"/>
        </w:rPr>
        <w:t>th</w:t>
      </w:r>
      <w:r>
        <w:t xml:space="preserve"> Annual School Law Seminars are below. 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43"/>
        <w:gridCol w:w="4525"/>
      </w:tblGrid>
      <w:tr w:rsidR="004633B3" w:rsidRPr="00D077BA" w:rsidTr="00875ACF">
        <w:trPr>
          <w:trHeight w:val="1692"/>
        </w:trPr>
        <w:tc>
          <w:tcPr>
            <w:tcW w:w="5580" w:type="dxa"/>
          </w:tcPr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  <w:color w:val="2E6D1D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 xml:space="preserve"> </w:t>
            </w:r>
            <w:r w:rsidRPr="00E0044C"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Columbia, MO – July 2</w:t>
            </w:r>
            <w:r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8</w:t>
            </w:r>
            <w:r w:rsidRPr="00E0044C"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, 201</w:t>
            </w:r>
            <w:r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 xml:space="preserve">    Holiday Inn Executive Center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 xml:space="preserve">    2200 I-70 Drive SW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 xml:space="preserve">    Columbia, MO 65203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 w:cs="Times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>Registration:  8:00 a.m.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 w:cs="Times"/>
                <w:color w:val="339933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>Sessions:  8:30 a.m. – 1:00 p.m.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color w:val="FF0000"/>
                <w:sz w:val="20"/>
                <w:szCs w:val="20"/>
              </w:rPr>
            </w:pP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color w:val="FF0000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></w:t>
            </w:r>
            <w:r w:rsidRPr="00E0044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 xml:space="preserve">Springfield, MO – August </w:t>
            </w:r>
            <w:r>
              <w:rPr>
                <w:rFonts w:ascii="Century" w:hAnsi="Century"/>
                <w:b/>
                <w:color w:val="2E6D1D"/>
                <w:sz w:val="20"/>
                <w:szCs w:val="20"/>
              </w:rPr>
              <w:t>5</w:t>
            </w:r>
            <w:r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>, 201</w:t>
            </w:r>
            <w:r>
              <w:rPr>
                <w:rFonts w:ascii="Century" w:hAnsi="Century"/>
                <w:b/>
                <w:color w:val="2E6D1D"/>
                <w:sz w:val="20"/>
                <w:szCs w:val="20"/>
              </w:rPr>
              <w:t>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DoubleTree Hotel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2431 N. Glenstone Avenue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Springfield, MO  65803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Registration:  8:00 a.m.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Sessions:  8:30 a.m. – 1 p.m.</w:t>
            </w:r>
          </w:p>
          <w:p w:rsidR="004633B3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</w:tr>
      <w:tr w:rsidR="004633B3" w:rsidRPr="00D077BA" w:rsidTr="00875ACF">
        <w:tc>
          <w:tcPr>
            <w:tcW w:w="5580" w:type="dxa"/>
          </w:tcPr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  <w:b/>
                <w:color w:val="2E6D1D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lastRenderedPageBreak/>
              <w:t xml:space="preserve"> </w:t>
            </w:r>
            <w:r w:rsidRPr="00E0044C">
              <w:rPr>
                <w:rFonts w:ascii="Century" w:hAnsi="Century" w:cs="Times"/>
                <w:b/>
                <w:color w:val="2E6D1D"/>
                <w:sz w:val="20"/>
                <w:szCs w:val="20"/>
              </w:rPr>
              <w:t xml:space="preserve">St. Louis, MO – August </w:t>
            </w:r>
            <w:r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1</w:t>
            </w:r>
            <w:r w:rsidRPr="00E0044C"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, 201</w:t>
            </w:r>
            <w:r>
              <w:rPr>
                <w:rFonts w:ascii="Century" w:hAnsi="Century" w:cs="Times"/>
                <w:b/>
                <w:color w:val="2E6D1D"/>
                <w:sz w:val="20"/>
                <w:szCs w:val="20"/>
              </w:rPr>
              <w:t>3</w:t>
            </w:r>
            <w:r w:rsidRPr="00E0044C">
              <w:rPr>
                <w:rFonts w:ascii="Century" w:hAnsi="Century" w:cs="Times"/>
                <w:b/>
                <w:color w:val="2E6D1D"/>
                <w:sz w:val="20"/>
                <w:szCs w:val="20"/>
              </w:rPr>
              <w:t xml:space="preserve"> 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 w:cs="Times"/>
                <w:sz w:val="20"/>
                <w:szCs w:val="20"/>
              </w:rPr>
              <w:t xml:space="preserve">    </w:t>
            </w:r>
            <w:r w:rsidRPr="00E0044C">
              <w:rPr>
                <w:rFonts w:ascii="Century" w:hAnsi="Century"/>
                <w:sz w:val="20"/>
                <w:szCs w:val="20"/>
              </w:rPr>
              <w:t>Maryville University/Auditorium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650 Maryville University Drive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St. Louis, MO 63141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Registration:  8:00 a.m.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Sessions:  8:30 a.m. – 1:00 p.m.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220" w:type="dxa"/>
          </w:tcPr>
          <w:p w:rsidR="004633B3" w:rsidRPr="00E0044C" w:rsidRDefault="00CA699A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color w:val="2E6D1D"/>
                <w:sz w:val="20"/>
                <w:szCs w:val="20"/>
              </w:rPr>
            </w:pPr>
            <w:r w:rsidRPr="00CA699A">
              <w:rPr>
                <w:rFonts w:ascii="Century" w:hAnsi="Century"/>
                <w:sz w:val="24"/>
                <w:szCs w:val="24"/>
              </w:rPr>
              <w:t>□</w:t>
            </w:r>
            <w:r w:rsidR="004633B3" w:rsidRPr="00E0044C">
              <w:rPr>
                <w:rFonts w:ascii="Century" w:hAnsi="Century"/>
                <w:sz w:val="20"/>
                <w:szCs w:val="20"/>
              </w:rPr>
              <w:t xml:space="preserve"> </w:t>
            </w:r>
            <w:r w:rsidR="004633B3"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 xml:space="preserve">Kansas City, MO – August </w:t>
            </w:r>
            <w:r w:rsidR="004633B3">
              <w:rPr>
                <w:rFonts w:ascii="Century" w:hAnsi="Century"/>
                <w:b/>
                <w:color w:val="2E6D1D"/>
                <w:sz w:val="20"/>
                <w:szCs w:val="20"/>
              </w:rPr>
              <w:t>6</w:t>
            </w:r>
            <w:r w:rsidR="004633B3"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>, 201</w:t>
            </w:r>
            <w:r w:rsidR="004633B3">
              <w:rPr>
                <w:rFonts w:ascii="Century" w:hAnsi="Century"/>
                <w:b/>
                <w:color w:val="2E6D1D"/>
                <w:sz w:val="20"/>
                <w:szCs w:val="20"/>
              </w:rPr>
              <w:t>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Adams Pointe Conference Center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Marriott Courtyard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1400 North East Coronado Drive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Blue Springs, MO  64014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Registration:  8:00 a.m.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Sessions:  8:30 a.m. – 1 p.m.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</w:tr>
      <w:tr w:rsidR="004633B3" w:rsidRPr="00D077BA" w:rsidTr="00875ACF">
        <w:tc>
          <w:tcPr>
            <w:tcW w:w="5580" w:type="dxa"/>
          </w:tcPr>
          <w:p w:rsidR="004633B3" w:rsidRPr="00E0044C" w:rsidRDefault="00CA699A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CA699A">
              <w:rPr>
                <w:rFonts w:ascii="Century" w:hAnsi="Century"/>
                <w:sz w:val="24"/>
                <w:szCs w:val="24"/>
              </w:rPr>
              <w:t>□</w:t>
            </w:r>
            <w:r w:rsidR="004633B3" w:rsidRPr="00E0044C">
              <w:rPr>
                <w:rFonts w:ascii="Century" w:hAnsi="Century"/>
                <w:sz w:val="20"/>
                <w:szCs w:val="20"/>
              </w:rPr>
              <w:t xml:space="preserve"> </w:t>
            </w:r>
            <w:r w:rsidR="004633B3"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 xml:space="preserve">Cape Girardeau, MO – August </w:t>
            </w:r>
            <w:r w:rsidR="004633B3">
              <w:rPr>
                <w:rFonts w:ascii="Century" w:hAnsi="Century"/>
                <w:b/>
                <w:color w:val="2E6D1D"/>
                <w:sz w:val="20"/>
                <w:szCs w:val="20"/>
              </w:rPr>
              <w:t>2</w:t>
            </w:r>
            <w:r w:rsidR="004633B3" w:rsidRPr="00E0044C">
              <w:rPr>
                <w:rFonts w:ascii="Century" w:hAnsi="Century"/>
                <w:b/>
                <w:color w:val="2E6D1D"/>
                <w:sz w:val="20"/>
                <w:szCs w:val="20"/>
              </w:rPr>
              <w:t>, 201</w:t>
            </w:r>
            <w:r w:rsidR="004633B3">
              <w:rPr>
                <w:rFonts w:ascii="Century" w:hAnsi="Century"/>
                <w:b/>
                <w:color w:val="2E6D1D"/>
                <w:sz w:val="20"/>
                <w:szCs w:val="20"/>
              </w:rPr>
              <w:t>3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Southeast Missouri State University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Glenn Auditorium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One University Plaza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 xml:space="preserve">    Cape Girardeau, MO  63701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Registration:  8:00 a.m.</w:t>
            </w:r>
          </w:p>
          <w:p w:rsidR="004633B3" w:rsidRPr="00E0044C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/>
                <w:sz w:val="20"/>
                <w:szCs w:val="20"/>
              </w:rPr>
            </w:pPr>
            <w:r w:rsidRPr="00E0044C">
              <w:rPr>
                <w:rFonts w:ascii="Century" w:hAnsi="Century"/>
                <w:sz w:val="20"/>
                <w:szCs w:val="20"/>
              </w:rPr>
              <w:t>Sessions:  8:30 a.m. – 1 p.m.</w:t>
            </w:r>
          </w:p>
          <w:p w:rsidR="004633B3" w:rsidRPr="00F26025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ind w:left="252"/>
              <w:rPr>
                <w:rFonts w:ascii="Century" w:hAnsi="Century" w:cs="Times"/>
              </w:rPr>
            </w:pPr>
          </w:p>
        </w:tc>
        <w:tc>
          <w:tcPr>
            <w:tcW w:w="5220" w:type="dxa"/>
          </w:tcPr>
          <w:p w:rsidR="004633B3" w:rsidRPr="00F26025" w:rsidRDefault="004633B3" w:rsidP="004633B3">
            <w:pPr>
              <w:tabs>
                <w:tab w:val="left" w:pos="360"/>
                <w:tab w:val="left" w:pos="4320"/>
              </w:tabs>
              <w:spacing w:after="0" w:line="240" w:lineRule="auto"/>
              <w:rPr>
                <w:rFonts w:ascii="Century" w:hAnsi="Century" w:cs="Times"/>
              </w:rPr>
            </w:pPr>
          </w:p>
        </w:tc>
      </w:tr>
    </w:tbl>
    <w:p w:rsidR="004633B3" w:rsidRDefault="004633B3" w:rsidP="004633B3">
      <w:pPr>
        <w:jc w:val="both"/>
      </w:pPr>
    </w:p>
    <w:p w:rsidR="004633B3" w:rsidRDefault="004633B3" w:rsidP="001C61E0">
      <w:pPr>
        <w:jc w:val="both"/>
        <w:rPr>
          <w:rFonts w:eastAsia="Calibri"/>
        </w:rPr>
      </w:pPr>
      <w:r>
        <w:tab/>
        <w:t xml:space="preserve">Registration and Continental Breakfast will begin at all locations at 8:00 a.m.  </w:t>
      </w:r>
    </w:p>
    <w:p w:rsidR="004633B3" w:rsidRDefault="004633B3" w:rsidP="001C61E0">
      <w:pPr>
        <w:jc w:val="both"/>
      </w:pPr>
      <w:r>
        <w:tab/>
        <w:t>All of the seminars are presented without charge for clients and friends in the education community.</w:t>
      </w:r>
    </w:p>
    <w:p w:rsidR="004633B3" w:rsidRDefault="004633B3" w:rsidP="001C61E0">
      <w:pPr>
        <w:jc w:val="both"/>
      </w:pPr>
      <w:r>
        <w:t> </w:t>
      </w:r>
      <w:r>
        <w:tab/>
        <w:t xml:space="preserve">To register, please visit the Mickes Goldman O’Toole, LLC website at </w:t>
      </w:r>
      <w:hyperlink r:id="rId9" w:history="1">
        <w:r w:rsidRPr="00646912">
          <w:rPr>
            <w:rStyle w:val="Hyperlink"/>
          </w:rPr>
          <w:t>www.mickesgoldman.com</w:t>
        </w:r>
      </w:hyperlink>
      <w:r>
        <w:t>.  If you have any questions, please feel free to call.</w:t>
      </w:r>
    </w:p>
    <w:p w:rsidR="004633B3" w:rsidRDefault="003A2856" w:rsidP="00885611">
      <w:r>
        <w:rPr>
          <w:noProof/>
        </w:rPr>
        <w:drawing>
          <wp:anchor distT="0" distB="0" distL="114300" distR="114300" simplePos="0" relativeHeight="251660288" behindDoc="0" locked="0" layoutInCell="1" allowOverlap="1" wp14:anchorId="32084073" wp14:editId="019D4523">
            <wp:simplePos x="0" y="0"/>
            <wp:positionH relativeFrom="column">
              <wp:posOffset>2567940</wp:posOffset>
            </wp:positionH>
            <wp:positionV relativeFrom="paragraph">
              <wp:posOffset>222967</wp:posOffset>
            </wp:positionV>
            <wp:extent cx="2242820" cy="6330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 Signature copy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611">
        <w:tab/>
      </w:r>
      <w:r w:rsidR="00885611">
        <w:tab/>
      </w:r>
      <w:r w:rsidR="00885611">
        <w:tab/>
      </w:r>
      <w:r w:rsidR="00885611">
        <w:tab/>
      </w:r>
      <w:r w:rsidR="004633B3">
        <w:tab/>
      </w:r>
      <w:r w:rsidR="004633B3">
        <w:tab/>
        <w:t>Sincerely,</w:t>
      </w:r>
    </w:p>
    <w:p w:rsidR="004633B3" w:rsidRDefault="004633B3" w:rsidP="004633B3">
      <w:pPr>
        <w:pStyle w:val="Header"/>
      </w:pPr>
    </w:p>
    <w:p w:rsidR="004633B3" w:rsidRDefault="004633B3" w:rsidP="004633B3">
      <w:pPr>
        <w:pStyle w:val="Header"/>
      </w:pPr>
      <w:r>
        <w:tab/>
      </w:r>
      <w:r>
        <w:tab/>
      </w:r>
      <w:r>
        <w:tab/>
      </w:r>
      <w:r>
        <w:tab/>
      </w:r>
      <w:r>
        <w:tab/>
        <w:t>MISSOURI CONSULTANTS FOR EDUCATION, LLC</w:t>
      </w:r>
    </w:p>
    <w:p w:rsidR="004633B3" w:rsidRDefault="004633B3" w:rsidP="004633B3">
      <w:pPr>
        <w:pStyle w:val="Header"/>
      </w:pPr>
    </w:p>
    <w:p w:rsidR="004633B3" w:rsidRDefault="004633B3" w:rsidP="004633B3">
      <w:pPr>
        <w:pStyle w:val="Header"/>
        <w:tabs>
          <w:tab w:val="clear" w:pos="4680"/>
          <w:tab w:val="left" w:pos="4410"/>
        </w:tabs>
      </w:pPr>
      <w:r>
        <w:tab/>
        <w:t>Thomas A. Mickes</w:t>
      </w:r>
    </w:p>
    <w:p w:rsidR="004633B3" w:rsidRDefault="004633B3" w:rsidP="004633B3">
      <w:pPr>
        <w:pStyle w:val="Header"/>
      </w:pPr>
      <w:r>
        <w:tab/>
      </w:r>
      <w:r>
        <w:tab/>
      </w:r>
      <w:r>
        <w:tab/>
      </w:r>
      <w:r>
        <w:tab/>
        <w:t>Thomas A. Mickes</w:t>
      </w:r>
    </w:p>
    <w:p w:rsidR="004633B3" w:rsidRDefault="004633B3" w:rsidP="004633B3">
      <w:pPr>
        <w:pStyle w:val="Header"/>
      </w:pPr>
      <w:r>
        <w:t>TAM/ndb</w:t>
      </w:r>
    </w:p>
    <w:p w:rsidR="00CC53C6" w:rsidRDefault="004633B3">
      <w:r>
        <w:t>Enclosures</w:t>
      </w:r>
    </w:p>
    <w:sectPr w:rsidR="00CC53C6" w:rsidSect="003B6B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60" w:rsidRDefault="00F74B60" w:rsidP="00F74B60">
      <w:pPr>
        <w:spacing w:after="0" w:line="240" w:lineRule="auto"/>
      </w:pPr>
      <w:r>
        <w:separator/>
      </w:r>
    </w:p>
  </w:endnote>
  <w:endnote w:type="continuationSeparator" w:id="0">
    <w:p w:rsidR="00F74B60" w:rsidRDefault="00F74B60" w:rsidP="00F7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ED2" w:rsidRDefault="00046E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ED2" w:rsidRDefault="00046E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ED2" w:rsidRDefault="00046E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60" w:rsidRDefault="00F74B60" w:rsidP="00F74B60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F74B60" w:rsidRDefault="00F74B60" w:rsidP="00F7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ED2" w:rsidRDefault="00046E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77A" w:rsidRDefault="003B6B4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46ED2">
      <w:rPr>
        <w:noProof/>
      </w:rPr>
      <w:t>3</w:t>
    </w:r>
    <w:r>
      <w:rPr>
        <w:noProof/>
      </w:rPr>
      <w:fldChar w:fldCharType="end"/>
    </w:r>
  </w:p>
  <w:p w:rsidR="003B6B47" w:rsidRDefault="003B6B47">
    <w:pPr>
      <w:pStyle w:val="Header"/>
    </w:pPr>
    <w:r>
      <w:t>May, 2013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ED2" w:rsidRDefault="00046E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C6"/>
    <w:rsid w:val="00046ED2"/>
    <w:rsid w:val="001503C9"/>
    <w:rsid w:val="001C61E0"/>
    <w:rsid w:val="00204AF4"/>
    <w:rsid w:val="003A2856"/>
    <w:rsid w:val="003B6B47"/>
    <w:rsid w:val="004633B3"/>
    <w:rsid w:val="00480AA9"/>
    <w:rsid w:val="004D2720"/>
    <w:rsid w:val="00506586"/>
    <w:rsid w:val="00682C75"/>
    <w:rsid w:val="007343BB"/>
    <w:rsid w:val="00885611"/>
    <w:rsid w:val="008F177A"/>
    <w:rsid w:val="00A02DC5"/>
    <w:rsid w:val="00A2738D"/>
    <w:rsid w:val="00AB33B8"/>
    <w:rsid w:val="00B81001"/>
    <w:rsid w:val="00C46E29"/>
    <w:rsid w:val="00CA699A"/>
    <w:rsid w:val="00CC53C6"/>
    <w:rsid w:val="00DE7F12"/>
    <w:rsid w:val="00E34940"/>
    <w:rsid w:val="00E36672"/>
    <w:rsid w:val="00EF7921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74B60"/>
    <w:pPr>
      <w:keepNext/>
      <w:spacing w:after="0" w:line="240" w:lineRule="auto"/>
      <w:jc w:val="right"/>
      <w:outlineLvl w:val="0"/>
    </w:pPr>
    <w:rPr>
      <w:rFonts w:ascii="Century Gothic" w:eastAsia="Times New Roman" w:hAnsi="Century Gothic" w:cs="Times New Roman"/>
      <w:b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F74B60"/>
    <w:pPr>
      <w:keepNext/>
      <w:spacing w:after="0" w:line="240" w:lineRule="auto"/>
      <w:jc w:val="right"/>
      <w:outlineLvl w:val="1"/>
    </w:pPr>
    <w:rPr>
      <w:rFonts w:ascii="Century Gothic" w:eastAsia="Times New Roman" w:hAnsi="Century Gothic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7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74B60"/>
  </w:style>
  <w:style w:type="paragraph" w:styleId="Footer">
    <w:name w:val="footer"/>
    <w:basedOn w:val="Normal"/>
    <w:link w:val="FooterChar"/>
    <w:uiPriority w:val="99"/>
    <w:unhideWhenUsed/>
    <w:rsid w:val="00F7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B60"/>
  </w:style>
  <w:style w:type="character" w:customStyle="1" w:styleId="Heading1Char">
    <w:name w:val="Heading 1 Char"/>
    <w:basedOn w:val="DefaultParagraphFont"/>
    <w:link w:val="Heading1"/>
    <w:rsid w:val="00F74B60"/>
    <w:rPr>
      <w:rFonts w:ascii="Century Gothic" w:eastAsia="Times New Roman" w:hAnsi="Century Gothic" w:cs="Times New Roman"/>
      <w:b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F74B60"/>
    <w:rPr>
      <w:rFonts w:ascii="Century Gothic" w:eastAsia="Times New Roman" w:hAnsi="Century Gothic" w:cs="Times New Roman"/>
      <w:b/>
      <w:sz w:val="20"/>
      <w:szCs w:val="20"/>
    </w:rPr>
  </w:style>
  <w:style w:type="character" w:styleId="Hyperlink">
    <w:name w:val="Hyperlink"/>
    <w:basedOn w:val="DefaultParagraphFont"/>
    <w:rsid w:val="00F74B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74B60"/>
    <w:pPr>
      <w:keepNext/>
      <w:spacing w:after="0" w:line="240" w:lineRule="auto"/>
      <w:jc w:val="right"/>
      <w:outlineLvl w:val="0"/>
    </w:pPr>
    <w:rPr>
      <w:rFonts w:ascii="Century Gothic" w:eastAsia="Times New Roman" w:hAnsi="Century Gothic" w:cs="Times New Roman"/>
      <w:b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F74B60"/>
    <w:pPr>
      <w:keepNext/>
      <w:spacing w:after="0" w:line="240" w:lineRule="auto"/>
      <w:jc w:val="right"/>
      <w:outlineLvl w:val="1"/>
    </w:pPr>
    <w:rPr>
      <w:rFonts w:ascii="Century Gothic" w:eastAsia="Times New Roman" w:hAnsi="Century Gothic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7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74B60"/>
  </w:style>
  <w:style w:type="paragraph" w:styleId="Footer">
    <w:name w:val="footer"/>
    <w:basedOn w:val="Normal"/>
    <w:link w:val="FooterChar"/>
    <w:uiPriority w:val="99"/>
    <w:unhideWhenUsed/>
    <w:rsid w:val="00F7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B60"/>
  </w:style>
  <w:style w:type="character" w:customStyle="1" w:styleId="Heading1Char">
    <w:name w:val="Heading 1 Char"/>
    <w:basedOn w:val="DefaultParagraphFont"/>
    <w:link w:val="Heading1"/>
    <w:rsid w:val="00F74B60"/>
    <w:rPr>
      <w:rFonts w:ascii="Century Gothic" w:eastAsia="Times New Roman" w:hAnsi="Century Gothic" w:cs="Times New Roman"/>
      <w:b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F74B60"/>
    <w:rPr>
      <w:rFonts w:ascii="Century Gothic" w:eastAsia="Times New Roman" w:hAnsi="Century Gothic" w:cs="Times New Roman"/>
      <w:b/>
      <w:sz w:val="20"/>
      <w:szCs w:val="20"/>
    </w:rPr>
  </w:style>
  <w:style w:type="character" w:styleId="Hyperlink">
    <w:name w:val="Hyperlink"/>
    <w:basedOn w:val="DefaultParagraphFont"/>
    <w:rsid w:val="00F74B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coned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www.mickesgoldman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B75D4-D649-4B35-817F-5A00C641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960</Words>
  <Characters>5635</Characters>
  <Application>Microsoft Office Word</Application>
  <DocSecurity>0</DocSecurity>
  <PresentationFormat/>
  <Lines>153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 Letter enc May, 2013 Updates.DOCX</vt:lpstr>
    </vt:vector>
  </TitlesOfParts>
  <Company>Hewlett-Packard Company</Company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 Letter enc May, 2013 Charter Updates.DOCX</dc:title>
  <dc:subject>wdNOSTAMP</dc:subject>
  <dc:creator>Nicole Boyles</dc:creator>
  <cp:lastModifiedBy>Nicole Boyles</cp:lastModifiedBy>
  <cp:revision>18</cp:revision>
  <cp:lastPrinted>2013-05-31T20:24:00Z</cp:lastPrinted>
  <dcterms:created xsi:type="dcterms:W3CDTF">2013-05-20T18:59:00Z</dcterms:created>
  <dcterms:modified xsi:type="dcterms:W3CDTF">2013-06-18T19:00:00Z</dcterms:modified>
</cp:coreProperties>
</file>