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216" w:rsidRDefault="009B1216" w:rsidP="009B1216">
      <w:pPr>
        <w:widowControl w:val="0"/>
        <w:tabs>
          <w:tab w:val="left" w:pos="-720"/>
          <w:tab w:val="left" w:pos="7200"/>
        </w:tabs>
        <w:suppressAutoHyphens/>
        <w:rPr>
          <w:b/>
          <w:bCs/>
          <w:spacing w:val="-3"/>
        </w:rPr>
      </w:pPr>
      <w:bookmarkStart w:id="0" w:name="_GoBack"/>
      <w:bookmarkEnd w:id="0"/>
      <w:r>
        <w:rPr>
          <w:b/>
          <w:bCs/>
          <w:spacing w:val="-3"/>
          <w:u w:val="single"/>
        </w:rPr>
        <w:t>STUDENTS</w:t>
      </w:r>
      <w:r w:rsidRPr="009B5794">
        <w:rPr>
          <w:b/>
          <w:bCs/>
          <w:spacing w:val="-3"/>
        </w:rPr>
        <w:tab/>
      </w:r>
      <w:r>
        <w:rPr>
          <w:b/>
          <w:bCs/>
          <w:spacing w:val="-3"/>
        </w:rPr>
        <w:tab/>
      </w:r>
      <w:r w:rsidRPr="009B1216">
        <w:rPr>
          <w:b/>
          <w:bCs/>
          <w:spacing w:val="-3"/>
          <w:u w:val="single"/>
        </w:rPr>
        <w:t>Policy</w:t>
      </w:r>
      <w:r w:rsidRPr="009B5794">
        <w:rPr>
          <w:b/>
          <w:bCs/>
          <w:spacing w:val="-3"/>
        </w:rPr>
        <w:t xml:space="preserve"> </w:t>
      </w:r>
      <w:r>
        <w:rPr>
          <w:b/>
          <w:bCs/>
          <w:spacing w:val="-3"/>
        </w:rPr>
        <w:t>2835</w:t>
      </w:r>
    </w:p>
    <w:p w:rsidR="009B1216" w:rsidRPr="009B5794" w:rsidRDefault="009B1216" w:rsidP="009B1216">
      <w:pPr>
        <w:widowControl w:val="0"/>
        <w:tabs>
          <w:tab w:val="left" w:pos="-720"/>
          <w:tab w:val="left" w:pos="7200"/>
        </w:tabs>
        <w:suppressAutoHyphens/>
        <w:rPr>
          <w:b/>
          <w:bCs/>
          <w:spacing w:val="-3"/>
          <w:szCs w:val="20"/>
        </w:rPr>
      </w:pPr>
      <w:r>
        <w:rPr>
          <w:b/>
          <w:bCs/>
          <w:spacing w:val="-3"/>
        </w:rPr>
        <w:tab/>
      </w:r>
      <w:r>
        <w:rPr>
          <w:b/>
          <w:bCs/>
          <w:spacing w:val="-3"/>
        </w:rPr>
        <w:tab/>
        <w:t>(Form 2835)</w:t>
      </w:r>
    </w:p>
    <w:p w:rsidR="009B1216" w:rsidRPr="009B5794" w:rsidRDefault="009B1216" w:rsidP="009B1216">
      <w:pPr>
        <w:widowControl w:val="0"/>
        <w:tabs>
          <w:tab w:val="left" w:pos="-720"/>
        </w:tabs>
        <w:suppressAutoHyphens/>
        <w:rPr>
          <w:b/>
          <w:bCs/>
          <w:spacing w:val="-3"/>
          <w:szCs w:val="20"/>
        </w:rPr>
      </w:pPr>
      <w:r>
        <w:rPr>
          <w:b/>
          <w:bCs/>
          <w:spacing w:val="-3"/>
          <w:u w:val="single"/>
        </w:rPr>
        <w:t>Student Services</w:t>
      </w:r>
    </w:p>
    <w:p w:rsidR="009B1216" w:rsidRDefault="009B1216" w:rsidP="009B1216">
      <w:pPr>
        <w:widowControl w:val="0"/>
        <w:tabs>
          <w:tab w:val="left" w:pos="-720"/>
        </w:tabs>
        <w:suppressAutoHyphens/>
        <w:rPr>
          <w:b/>
          <w:bCs/>
          <w:spacing w:val="-3"/>
          <w:u w:val="single"/>
        </w:rPr>
      </w:pPr>
    </w:p>
    <w:p w:rsidR="009B1216" w:rsidRPr="009B5794" w:rsidRDefault="009B1216" w:rsidP="009B1216">
      <w:pPr>
        <w:widowControl w:val="0"/>
        <w:tabs>
          <w:tab w:val="left" w:pos="-720"/>
        </w:tabs>
        <w:suppressAutoHyphens/>
        <w:rPr>
          <w:b/>
          <w:bCs/>
          <w:spacing w:val="-3"/>
          <w:szCs w:val="20"/>
          <w:u w:val="single"/>
        </w:rPr>
      </w:pPr>
      <w:r>
        <w:rPr>
          <w:b/>
          <w:bCs/>
          <w:spacing w:val="-3"/>
          <w:u w:val="single"/>
        </w:rPr>
        <w:t>Consent to Medical Treatment and Educational Service</w:t>
      </w:r>
    </w:p>
    <w:p w:rsidR="009B1216" w:rsidRPr="009B5794" w:rsidRDefault="009B1216" w:rsidP="009B1216">
      <w:pPr>
        <w:widowControl w:val="0"/>
        <w:tabs>
          <w:tab w:val="left" w:pos="-720"/>
        </w:tabs>
        <w:suppressAutoHyphens/>
        <w:rPr>
          <w:spacing w:val="-3"/>
          <w:szCs w:val="20"/>
          <w:u w:val="single"/>
        </w:rPr>
      </w:pPr>
    </w:p>
    <w:p w:rsidR="001103D7" w:rsidRDefault="009B1216" w:rsidP="005024CF">
      <w:pPr>
        <w:jc w:val="both"/>
      </w:pPr>
      <w:r>
        <w:t>As provided by statute, and as otherwise provided in Board Policy, the following individuals may consent to</w:t>
      </w:r>
      <w:r w:rsidR="008B6C00">
        <w:t xml:space="preserve"> student </w:t>
      </w:r>
      <w:r>
        <w:t>medical treatment</w:t>
      </w:r>
      <w:r w:rsidR="008B6C00">
        <w:t xml:space="preserve"> and educational services:</w:t>
      </w:r>
    </w:p>
    <w:p w:rsidR="009B1216" w:rsidRDefault="009B1216" w:rsidP="005024CF">
      <w:pPr>
        <w:pStyle w:val="ListParagraph"/>
        <w:ind w:left="1440"/>
        <w:jc w:val="both"/>
      </w:pPr>
    </w:p>
    <w:p w:rsidR="009B1216" w:rsidRDefault="009B1216" w:rsidP="005024CF">
      <w:pPr>
        <w:pStyle w:val="ListParagraph"/>
        <w:numPr>
          <w:ilvl w:val="0"/>
          <w:numId w:val="1"/>
        </w:numPr>
        <w:jc w:val="both"/>
      </w:pPr>
      <w:r>
        <w:t>Parents</w:t>
      </w:r>
    </w:p>
    <w:p w:rsidR="009B1216" w:rsidRDefault="009B1216" w:rsidP="005024CF">
      <w:pPr>
        <w:pStyle w:val="ListParagraph"/>
        <w:ind w:left="1440"/>
        <w:jc w:val="both"/>
      </w:pPr>
    </w:p>
    <w:p w:rsidR="009B1216" w:rsidRDefault="009B1216" w:rsidP="005024CF">
      <w:pPr>
        <w:pStyle w:val="ListParagraph"/>
        <w:numPr>
          <w:ilvl w:val="0"/>
          <w:numId w:val="1"/>
        </w:numPr>
        <w:jc w:val="both"/>
      </w:pPr>
      <w:r>
        <w:t>Student’s legal guardian</w:t>
      </w:r>
    </w:p>
    <w:p w:rsidR="009B1216" w:rsidRDefault="009B1216" w:rsidP="005024CF">
      <w:pPr>
        <w:pStyle w:val="ListParagraph"/>
        <w:ind w:left="1440"/>
        <w:jc w:val="both"/>
      </w:pPr>
    </w:p>
    <w:p w:rsidR="009B1216" w:rsidRDefault="009B1216" w:rsidP="005024CF">
      <w:pPr>
        <w:pStyle w:val="ListParagraph"/>
        <w:numPr>
          <w:ilvl w:val="0"/>
          <w:numId w:val="1"/>
        </w:numPr>
        <w:jc w:val="both"/>
      </w:pPr>
      <w:r>
        <w:t>Relative caregiver</w:t>
      </w:r>
    </w:p>
    <w:p w:rsidR="009B1216" w:rsidRDefault="009B1216" w:rsidP="005024CF">
      <w:pPr>
        <w:pStyle w:val="ListParagraph"/>
        <w:ind w:left="1440"/>
        <w:jc w:val="both"/>
      </w:pPr>
    </w:p>
    <w:p w:rsidR="009B1216" w:rsidRDefault="009B1216" w:rsidP="005024CF">
      <w:pPr>
        <w:pStyle w:val="ListParagraph"/>
        <w:numPr>
          <w:ilvl w:val="0"/>
          <w:numId w:val="1"/>
        </w:numPr>
        <w:jc w:val="both"/>
      </w:pPr>
      <w:r>
        <w:t>Foster parent</w:t>
      </w:r>
    </w:p>
    <w:p w:rsidR="009B1216" w:rsidRDefault="009B1216" w:rsidP="005024CF">
      <w:pPr>
        <w:pStyle w:val="ListParagraph"/>
        <w:ind w:left="1440"/>
        <w:jc w:val="both"/>
      </w:pPr>
    </w:p>
    <w:p w:rsidR="009B1216" w:rsidRDefault="009B1216" w:rsidP="005024CF">
      <w:pPr>
        <w:pStyle w:val="ListParagraph"/>
        <w:numPr>
          <w:ilvl w:val="0"/>
          <w:numId w:val="1"/>
        </w:numPr>
        <w:jc w:val="both"/>
      </w:pPr>
      <w:r>
        <w:t>Any person who under court order is authorized to give consent for a student</w:t>
      </w:r>
    </w:p>
    <w:p w:rsidR="009B1216" w:rsidRDefault="009B1216" w:rsidP="005024CF">
      <w:pPr>
        <w:pStyle w:val="ListParagraph"/>
        <w:jc w:val="both"/>
      </w:pPr>
    </w:p>
    <w:p w:rsidR="009B1216" w:rsidRDefault="009B1216" w:rsidP="005024CF">
      <w:pPr>
        <w:jc w:val="both"/>
      </w:pPr>
    </w:p>
    <w:p w:rsidR="009B1216" w:rsidRDefault="009B1216" w:rsidP="005024CF">
      <w:pPr>
        <w:jc w:val="both"/>
      </w:pPr>
      <w:r>
        <w:t>A “relative caregiver” is defined by statute as a competent adult (18 years of age or older) who is related to the student by blood, marriage or adoption, and who is not the parent.  Relative caregivers are required to provide an affidavit attesting that the student lives with the relative caregiver and they are responsible for the care of the student.  (</w:t>
      </w:r>
      <w:r w:rsidRPr="009B1216">
        <w:rPr>
          <w:u w:val="single"/>
        </w:rPr>
        <w:t>See</w:t>
      </w:r>
      <w:r>
        <w:t xml:space="preserve"> Form 2835).</w:t>
      </w:r>
    </w:p>
    <w:p w:rsidR="009B1216" w:rsidRDefault="009B1216" w:rsidP="005024CF">
      <w:pPr>
        <w:jc w:val="both"/>
      </w:pPr>
    </w:p>
    <w:p w:rsidR="009B1216" w:rsidRDefault="009B1216" w:rsidP="005024CF">
      <w:pPr>
        <w:jc w:val="both"/>
      </w:pPr>
      <w:r>
        <w:t xml:space="preserve">A </w:t>
      </w:r>
      <w:r w:rsidR="005024CF">
        <w:t>r</w:t>
      </w:r>
      <w:r>
        <w:t xml:space="preserve">elative </w:t>
      </w:r>
      <w:r w:rsidR="005024CF">
        <w:t>c</w:t>
      </w:r>
      <w:r>
        <w:t>aregiver acting under the requirements of an affidavit may consent to medical treatment and educational services for a student who cannot otherwise legally consent</w:t>
      </w:r>
      <w:r w:rsidR="005024CF">
        <w:t>,</w:t>
      </w:r>
      <w:r>
        <w:t xml:space="preserve"> if the parent has delegated these responsibilities in writing</w:t>
      </w:r>
      <w:r w:rsidR="005024CF">
        <w:t>,</w:t>
      </w:r>
      <w:r>
        <w:t xml:space="preserve"> or after reasonable efforts, the consent of the parent cannot be obtained.</w:t>
      </w:r>
    </w:p>
    <w:p w:rsidR="009B1216" w:rsidRDefault="009B1216" w:rsidP="005024CF">
      <w:pPr>
        <w:jc w:val="both"/>
      </w:pPr>
    </w:p>
    <w:p w:rsidR="009B1216" w:rsidRDefault="009B1216" w:rsidP="005024CF">
      <w:pPr>
        <w:jc w:val="both"/>
      </w:pPr>
      <w:r>
        <w:t>The consent of the relative caregiver will be revoked in the event the student’s parent withdraws their authorization provided the parent’s decision does not threaten the life</w:t>
      </w:r>
      <w:r w:rsidR="005024CF">
        <w:t>,</w:t>
      </w:r>
      <w:r>
        <w:t xml:space="preserve"> health or safety of the student.  In addition, if the student c</w:t>
      </w:r>
      <w:r w:rsidR="005024CF">
        <w:t>e</w:t>
      </w:r>
      <w:r>
        <w:t>ases to live with the relative caregiver, the relative caregiver must immediately notify the District.  Upon receipt of such notice, the relative caregiver can no longer consent to medical treatment or educational services.</w:t>
      </w:r>
    </w:p>
    <w:p w:rsidR="009B1216" w:rsidRDefault="009B1216" w:rsidP="005024CF">
      <w:pPr>
        <w:jc w:val="both"/>
      </w:pPr>
    </w:p>
    <w:p w:rsidR="009B1216" w:rsidRDefault="009B1216" w:rsidP="005024CF">
      <w:pPr>
        <w:jc w:val="both"/>
      </w:pPr>
      <w:r>
        <w:t>A relative caregiver’s affidavit is valid for one year from the date received by the District.</w:t>
      </w:r>
    </w:p>
    <w:sectPr w:rsidR="009B12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216" w:rsidRDefault="009B1216" w:rsidP="009B1216">
      <w:r>
        <w:separator/>
      </w:r>
    </w:p>
  </w:endnote>
  <w:endnote w:type="continuationSeparator" w:id="0">
    <w:p w:rsidR="009B1216" w:rsidRDefault="009B1216" w:rsidP="009B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57" w:rsidRDefault="00F06B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16" w:rsidRPr="00AE6876" w:rsidRDefault="009B1216" w:rsidP="00AE6876">
    <w:pPr>
      <w:pStyle w:val="Footer"/>
      <w:tabs>
        <w:tab w:val="left" w:pos="4770"/>
      </w:tabs>
      <w:ind w:right="-450"/>
      <w:rPr>
        <w:sz w:val="18"/>
        <w:szCs w:val="18"/>
      </w:rPr>
    </w:pPr>
    <w:r w:rsidRPr="00AE6876">
      <w:rPr>
        <w:sz w:val="18"/>
        <w:szCs w:val="18"/>
      </w:rPr>
      <w:t>July, 2014</w:t>
    </w:r>
    <w:r w:rsidRPr="00AE6876">
      <w:rPr>
        <w:sz w:val="18"/>
        <w:szCs w:val="18"/>
      </w:rPr>
      <w:tab/>
    </w:r>
    <w:r w:rsidRPr="00AE6876">
      <w:rPr>
        <w:sz w:val="18"/>
        <w:szCs w:val="18"/>
      </w:rPr>
      <w:tab/>
    </w:r>
    <w:r w:rsidRPr="00AE6876">
      <w:rPr>
        <w:sz w:val="18"/>
        <w:szCs w:val="18"/>
      </w:rPr>
      <w:tab/>
      <w:t>Copyright © 2014 Missouri Consultants for Education</w:t>
    </w:r>
  </w:p>
  <w:p w:rsidR="009B1216" w:rsidRPr="00AE6876" w:rsidRDefault="009B12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57" w:rsidRDefault="00F06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216" w:rsidRDefault="009B1216" w:rsidP="009B1216">
      <w:pPr>
        <w:rPr>
          <w:noProof/>
        </w:rPr>
      </w:pPr>
      <w:r>
        <w:rPr>
          <w:noProof/>
        </w:rPr>
        <w:separator/>
      </w:r>
    </w:p>
  </w:footnote>
  <w:footnote w:type="continuationSeparator" w:id="0">
    <w:p w:rsidR="009B1216" w:rsidRDefault="009B1216" w:rsidP="009B1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57" w:rsidRDefault="00F06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57" w:rsidRDefault="00F06B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57" w:rsidRDefault="00F06B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105E1"/>
    <w:multiLevelType w:val="hybridMultilevel"/>
    <w:tmpl w:val="6AF00D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216"/>
    <w:rsid w:val="001103D7"/>
    <w:rsid w:val="005024CF"/>
    <w:rsid w:val="008B6C00"/>
    <w:rsid w:val="009B1216"/>
    <w:rsid w:val="00AE6876"/>
    <w:rsid w:val="00F0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2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216"/>
    <w:pPr>
      <w:ind w:left="720"/>
      <w:contextualSpacing/>
    </w:pPr>
  </w:style>
  <w:style w:type="paragraph" w:styleId="Header">
    <w:name w:val="header"/>
    <w:basedOn w:val="Normal"/>
    <w:link w:val="HeaderChar"/>
    <w:uiPriority w:val="99"/>
    <w:unhideWhenUsed/>
    <w:rsid w:val="009B1216"/>
    <w:pPr>
      <w:tabs>
        <w:tab w:val="center" w:pos="4680"/>
        <w:tab w:val="right" w:pos="9360"/>
      </w:tabs>
    </w:pPr>
  </w:style>
  <w:style w:type="character" w:customStyle="1" w:styleId="HeaderChar">
    <w:name w:val="Header Char"/>
    <w:basedOn w:val="DefaultParagraphFont"/>
    <w:link w:val="Header"/>
    <w:uiPriority w:val="99"/>
    <w:rsid w:val="009B12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1216"/>
    <w:pPr>
      <w:tabs>
        <w:tab w:val="center" w:pos="4680"/>
        <w:tab w:val="right" w:pos="9360"/>
      </w:tabs>
    </w:pPr>
  </w:style>
  <w:style w:type="character" w:customStyle="1" w:styleId="FooterChar">
    <w:name w:val="Footer Char"/>
    <w:basedOn w:val="DefaultParagraphFont"/>
    <w:link w:val="Footer"/>
    <w:uiPriority w:val="99"/>
    <w:rsid w:val="009B121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2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216"/>
    <w:pPr>
      <w:ind w:left="720"/>
      <w:contextualSpacing/>
    </w:pPr>
  </w:style>
  <w:style w:type="paragraph" w:styleId="Header">
    <w:name w:val="header"/>
    <w:basedOn w:val="Normal"/>
    <w:link w:val="HeaderChar"/>
    <w:uiPriority w:val="99"/>
    <w:unhideWhenUsed/>
    <w:rsid w:val="009B1216"/>
    <w:pPr>
      <w:tabs>
        <w:tab w:val="center" w:pos="4680"/>
        <w:tab w:val="right" w:pos="9360"/>
      </w:tabs>
    </w:pPr>
  </w:style>
  <w:style w:type="character" w:customStyle="1" w:styleId="HeaderChar">
    <w:name w:val="Header Char"/>
    <w:basedOn w:val="DefaultParagraphFont"/>
    <w:link w:val="Header"/>
    <w:uiPriority w:val="99"/>
    <w:rsid w:val="009B12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1216"/>
    <w:pPr>
      <w:tabs>
        <w:tab w:val="center" w:pos="4680"/>
        <w:tab w:val="right" w:pos="9360"/>
      </w:tabs>
    </w:pPr>
  </w:style>
  <w:style w:type="character" w:customStyle="1" w:styleId="FooterChar">
    <w:name w:val="Footer Char"/>
    <w:basedOn w:val="DefaultParagraphFont"/>
    <w:link w:val="Footer"/>
    <w:uiPriority w:val="99"/>
    <w:rsid w:val="009B12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262</Words>
  <Characters>1403</Characters>
  <Application>Microsoft Office Word</Application>
  <DocSecurity>0</DocSecurity>
  <PresentationFormat/>
  <Lines>37</Lines>
  <Paragraphs>14</Paragraphs>
  <ScaleCrop>false</ScaleCrop>
  <HeadingPairs>
    <vt:vector size="2" baseType="variant">
      <vt:variant>
        <vt:lpstr>Title</vt:lpstr>
      </vt:variant>
      <vt:variant>
        <vt:i4>1</vt:i4>
      </vt:variant>
    </vt:vector>
  </HeadingPairs>
  <TitlesOfParts>
    <vt:vector size="1" baseType="lpstr">
      <vt:lpstr>P2835-New.DOCX</vt:lpstr>
    </vt:vector>
  </TitlesOfParts>
  <Company>Hewlett-Packard Company</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P2835-New.DOCX</dc:title>
  <dc:subject>wdNOSTAMP</dc:subject>
  <dc:creator>Nicole Boyles</dc:creator>
  <cp:lastModifiedBy>Nicole Boyles</cp:lastModifiedBy>
  <cp:revision>4</cp:revision>
  <cp:lastPrinted>2014-07-09T16:37:00Z</cp:lastPrinted>
  <dcterms:created xsi:type="dcterms:W3CDTF">2014-07-09T16:09:00Z</dcterms:created>
  <dcterms:modified xsi:type="dcterms:W3CDTF">2014-07-11T14:58:00Z</dcterms:modified>
</cp:coreProperties>
</file>