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A08" w:rsidRDefault="00AD4A08" w:rsidP="00AD4A08">
      <w:pPr>
        <w:pStyle w:val="Heading2"/>
      </w:pPr>
      <w:bookmarkStart w:id="0" w:name="_GoBack"/>
      <w:bookmarkEnd w:id="0"/>
      <w:r>
        <w:rPr>
          <w:u w:val="single"/>
        </w:rPr>
        <w:t>STUDENTS</w:t>
      </w:r>
      <w:r>
        <w:tab/>
      </w:r>
      <w:r>
        <w:tab/>
      </w:r>
      <w:r>
        <w:tab/>
      </w:r>
      <w:r>
        <w:tab/>
      </w:r>
      <w:r>
        <w:tab/>
      </w:r>
      <w:r>
        <w:tab/>
      </w:r>
      <w:r>
        <w:tab/>
      </w:r>
      <w:r>
        <w:tab/>
      </w:r>
      <w:r>
        <w:tab/>
      </w:r>
      <w:r>
        <w:rPr>
          <w:u w:val="single"/>
        </w:rPr>
        <w:t>Regulation</w:t>
      </w:r>
      <w:r>
        <w:t xml:space="preserve"> 2230</w:t>
      </w:r>
    </w:p>
    <w:p w:rsidR="00AD4A08" w:rsidRDefault="00AD4A08" w:rsidP="00AD4A08">
      <w:pPr>
        <w:pStyle w:val="Heading2"/>
      </w:pPr>
      <w:r>
        <w:tab/>
      </w:r>
      <w:r>
        <w:tab/>
      </w:r>
      <w:r>
        <w:tab/>
      </w:r>
      <w:r>
        <w:tab/>
      </w:r>
      <w:r>
        <w:tab/>
      </w:r>
      <w:r>
        <w:tab/>
      </w:r>
      <w:r>
        <w:tab/>
      </w:r>
      <w:r>
        <w:tab/>
      </w:r>
      <w:r>
        <w:tab/>
      </w:r>
      <w:r>
        <w:tab/>
        <w:t>(Form 2230)</w:t>
      </w:r>
    </w:p>
    <w:p w:rsidR="00AD4A08" w:rsidRDefault="00AD4A08" w:rsidP="00AD4A08">
      <w:pPr>
        <w:pStyle w:val="Heading1"/>
      </w:pPr>
      <w:r>
        <w:t>Admission and Withdrawal</w:t>
      </w:r>
    </w:p>
    <w:p w:rsidR="00AD4A08" w:rsidRDefault="00AD4A08" w:rsidP="00AD4A08">
      <w:pPr>
        <w:rPr>
          <w:rFonts w:eastAsia="MS Mincho"/>
        </w:rPr>
      </w:pPr>
    </w:p>
    <w:p w:rsidR="00AD4A08" w:rsidRDefault="00AD4A08" w:rsidP="00AD4A08">
      <w:pPr>
        <w:pStyle w:val="Heading1"/>
      </w:pPr>
      <w:r>
        <w:t>Admission of</w:t>
      </w:r>
      <w:r w:rsidR="000338EA">
        <w:t xml:space="preserve"> Non-Tuition</w:t>
      </w:r>
      <w:r>
        <w:t xml:space="preserve"> Students</w:t>
      </w:r>
    </w:p>
    <w:p w:rsidR="00AD4A08" w:rsidRDefault="00AD4A08" w:rsidP="00AD4A08">
      <w:pPr>
        <w:rPr>
          <w:rFonts w:eastAsia="MS Mincho"/>
        </w:rPr>
      </w:pPr>
    </w:p>
    <w:p w:rsidR="00AD4A08" w:rsidRDefault="00AD4A08" w:rsidP="00AD4A08">
      <w:pPr>
        <w:rPr>
          <w:rFonts w:eastAsia="MS Mincho"/>
        </w:rPr>
      </w:pPr>
    </w:p>
    <w:p w:rsidR="00AD4A08" w:rsidRDefault="00AD4A08" w:rsidP="00527713">
      <w:pPr>
        <w:jc w:val="both"/>
        <w:rPr>
          <w:rFonts w:eastAsia="MS Mincho"/>
        </w:rPr>
      </w:pPr>
      <w:r>
        <w:rPr>
          <w:rFonts w:eastAsia="MS Mincho"/>
        </w:rPr>
        <w:t>The Superintendent/Designee is responsible for ensuring that all pre-registration residency, waiver requests, and prior discipline forms are completed and maintained as District records.</w:t>
      </w:r>
    </w:p>
    <w:p w:rsidR="00AD4A08" w:rsidRDefault="00AD4A08" w:rsidP="00527713">
      <w:pPr>
        <w:jc w:val="both"/>
        <w:rPr>
          <w:rFonts w:eastAsia="MS Mincho"/>
        </w:rPr>
      </w:pPr>
    </w:p>
    <w:p w:rsidR="00AD4A08" w:rsidRDefault="00AD4A08" w:rsidP="00527713">
      <w:pPr>
        <w:jc w:val="both"/>
        <w:rPr>
          <w:rFonts w:eastAsia="MS Mincho"/>
        </w:rPr>
      </w:pPr>
      <w:r>
        <w:rPr>
          <w:rFonts w:eastAsia="MS Mincho"/>
        </w:rPr>
        <w:t xml:space="preserve">A student may only register in the District if the student provides proof of residency or if the student or parent/guardian requests a waiver from the Board of Education on the basis of hardship or good </w:t>
      </w:r>
      <w:r w:rsidR="007F2978">
        <w:rPr>
          <w:rFonts w:eastAsia="MS Mincho"/>
        </w:rPr>
        <w:t>cause</w:t>
      </w:r>
      <w:r>
        <w:rPr>
          <w:rFonts w:eastAsia="MS Mincho"/>
        </w:rPr>
        <w:t>.  A Residency Enrollment Checklist (Form 2230) and Affidavit Regarding Prior Discipline (Form 2230.2) will be completed at the time of enrollment.  If the Superintendent</w:t>
      </w:r>
      <w:r w:rsidR="00EC31FA">
        <w:rPr>
          <w:rFonts w:eastAsia="MS Mincho"/>
        </w:rPr>
        <w:t>/Designee</w:t>
      </w:r>
      <w:r>
        <w:rPr>
          <w:rFonts w:eastAsia="MS Mincho"/>
        </w:rPr>
        <w:t xml:space="preserve"> has reason to suspect that the admission of a student will create an immediate danger to the safety of others, a hearing will be convened within five (5) working days of the request to register.  At the hearing, the District will determine whether the student may enroll.  (See Regulation 2664 – Enrollment or Return Following Suspension and/or Expulsion.)</w:t>
      </w:r>
    </w:p>
    <w:p w:rsidR="00AD4A08" w:rsidRDefault="00AD4A08" w:rsidP="00527713">
      <w:pPr>
        <w:jc w:val="both"/>
        <w:rPr>
          <w:rFonts w:eastAsia="MS Mincho"/>
        </w:rPr>
      </w:pPr>
    </w:p>
    <w:p w:rsidR="00AD4A08" w:rsidRDefault="00AD4A08" w:rsidP="00527713">
      <w:pPr>
        <w:pStyle w:val="Heading2"/>
        <w:jc w:val="both"/>
        <w:rPr>
          <w:rFonts w:eastAsia="MS Mincho"/>
        </w:rPr>
      </w:pPr>
      <w:r>
        <w:rPr>
          <w:rFonts w:eastAsia="MS Mincho"/>
        </w:rPr>
        <w:t>Waiver</w:t>
      </w:r>
    </w:p>
    <w:p w:rsidR="00AD4A08" w:rsidRDefault="00AD4A08" w:rsidP="00527713">
      <w:pPr>
        <w:jc w:val="both"/>
        <w:rPr>
          <w:rFonts w:eastAsia="MS Mincho"/>
        </w:rPr>
      </w:pPr>
    </w:p>
    <w:p w:rsidR="00A3570C" w:rsidRDefault="00AD4A08" w:rsidP="00527713">
      <w:pPr>
        <w:jc w:val="both"/>
        <w:rPr>
          <w:rFonts w:eastAsia="MS Mincho"/>
        </w:rPr>
      </w:pPr>
      <w:r>
        <w:rPr>
          <w:rFonts w:eastAsia="MS Mincho"/>
        </w:rPr>
        <w:t xml:space="preserve">Students or parents/guardians seeking a waiver of the District’s residency requirement must complete and submit to the Superintendent a Request for Waiver of Proof of Residency (Form 2230.1) stating the reasons for which the waiver is requested.  If a waiver is requested, the Board of Education, or a committee of the Board appointed by the Board President, must convene a hearing no later than forty-five (45) days after the request for waiver is filed with the Superintendent.  </w:t>
      </w:r>
      <w:r w:rsidR="00EC31FA">
        <w:rPr>
          <w:rFonts w:eastAsia="MS Mincho"/>
        </w:rPr>
        <w:t>Once a waiver of proof of residency has been requested, the student may be permitted to conditionally enroll and attend school</w:t>
      </w:r>
      <w:r w:rsidR="000338EA">
        <w:rPr>
          <w:rFonts w:eastAsia="MS Mincho"/>
        </w:rPr>
        <w:t xml:space="preserve"> pending a hearing before the Board on the request</w:t>
      </w:r>
      <w:r w:rsidR="00A3570C">
        <w:rPr>
          <w:rFonts w:eastAsia="MS Mincho"/>
        </w:rPr>
        <w:t xml:space="preserve"> unless there is reason to suspect that the student’s admission will create an immediate danger to the safety of other students or employees of the District</w:t>
      </w:r>
      <w:r w:rsidR="00EC31FA">
        <w:rPr>
          <w:rFonts w:eastAsia="MS Mincho"/>
        </w:rPr>
        <w:t xml:space="preserve">.  </w:t>
      </w:r>
      <w:r w:rsidR="00A3570C">
        <w:rPr>
          <w:rFonts w:eastAsia="MS Mincho"/>
        </w:rPr>
        <w:t>If there is reason to suspect that a student poses an immediate danger, the Superintendent/Designee may hold a hearing within five working days of the request to register and determine whether or not the pupil may register.</w:t>
      </w:r>
    </w:p>
    <w:p w:rsidR="00A3570C" w:rsidRDefault="00A3570C" w:rsidP="00527713">
      <w:pPr>
        <w:jc w:val="both"/>
        <w:rPr>
          <w:rFonts w:eastAsia="MS Mincho"/>
        </w:rPr>
      </w:pPr>
    </w:p>
    <w:p w:rsidR="00AD4A08" w:rsidRDefault="00AD4A08" w:rsidP="00527713">
      <w:pPr>
        <w:jc w:val="both"/>
        <w:rPr>
          <w:rFonts w:eastAsia="MS Mincho"/>
        </w:rPr>
      </w:pPr>
      <w:r>
        <w:rPr>
          <w:rFonts w:eastAsia="MS Mincho"/>
        </w:rPr>
        <w:t>If the District fails to convene a timely hearing, the request for waiver is automatically granted.  Following the hearing, the Board will provide written notice of its decision and the reasons for its approval or denial of the waiver request.</w:t>
      </w:r>
      <w:r w:rsidR="007B443A">
        <w:rPr>
          <w:rFonts w:eastAsia="MS Mincho"/>
        </w:rPr>
        <w:t xml:space="preserve">  If the Board grants the waiver request, the student will be allowed to continue attending school in the District</w:t>
      </w:r>
      <w:r w:rsidR="008A01C8">
        <w:rPr>
          <w:rFonts w:eastAsia="MS Mincho"/>
        </w:rPr>
        <w:t xml:space="preserve"> and will be deemed fully enrolled</w:t>
      </w:r>
      <w:r w:rsidR="007B443A">
        <w:rPr>
          <w:rFonts w:eastAsia="MS Mincho"/>
        </w:rPr>
        <w:t>.  If the Board denies the waiver request, the student’s conditional enrollment will automatically be revoked and the student shall not be allowed to continue attending school in the District.</w:t>
      </w:r>
    </w:p>
    <w:p w:rsidR="00AD4A08" w:rsidRDefault="00AD4A08" w:rsidP="00527713">
      <w:pPr>
        <w:jc w:val="both"/>
        <w:rPr>
          <w:rFonts w:eastAsia="MS Mincho"/>
        </w:rPr>
      </w:pPr>
    </w:p>
    <w:p w:rsidR="00AD4A08" w:rsidRDefault="00AD4A08" w:rsidP="00527713">
      <w:pPr>
        <w:jc w:val="both"/>
        <w:rPr>
          <w:rFonts w:eastAsia="MS Mincho"/>
        </w:rPr>
      </w:pPr>
      <w:r>
        <w:rPr>
          <w:rFonts w:eastAsia="MS Mincho"/>
        </w:rPr>
        <w:t xml:space="preserve">In considering whether a waiver to residency should be granted, the presumption that a student's domicile is in the home of the student's parent/guardian is not conclusive.  Students residing within the District, but not within the domicile of their parent/guardian, will be considered </w:t>
      </w:r>
      <w:r>
        <w:rPr>
          <w:rFonts w:eastAsia="MS Mincho"/>
        </w:rPr>
        <w:lastRenderedPageBreak/>
        <w:t>residents of the District if they reside within the District for reasons other than solely to attend District schools</w:t>
      </w:r>
      <w:r w:rsidR="00FE2166">
        <w:rPr>
          <w:rFonts w:eastAsia="MS Mincho"/>
        </w:rPr>
        <w:t xml:space="preserve"> or athletic reasons</w:t>
      </w:r>
      <w:r>
        <w:rPr>
          <w:rFonts w:eastAsia="MS Mincho"/>
        </w:rPr>
        <w:t>.</w:t>
      </w:r>
    </w:p>
    <w:p w:rsidR="00A3570C" w:rsidRDefault="00A3570C" w:rsidP="00527713">
      <w:pPr>
        <w:jc w:val="both"/>
        <w:rPr>
          <w:rFonts w:eastAsia="MS Mincho"/>
        </w:rPr>
      </w:pPr>
    </w:p>
    <w:p w:rsidR="00596165" w:rsidRDefault="00596165" w:rsidP="00527713">
      <w:pPr>
        <w:jc w:val="both"/>
        <w:rPr>
          <w:rFonts w:eastAsia="MS Mincho"/>
          <w:u w:val="single"/>
        </w:rPr>
      </w:pPr>
      <w:r>
        <w:rPr>
          <w:rFonts w:eastAsia="MS Mincho"/>
          <w:b/>
        </w:rPr>
        <w:t>Students Entitled to Enroll Without Proof of Residency o</w:t>
      </w:r>
      <w:r w:rsidR="00A3570C">
        <w:rPr>
          <w:rFonts w:eastAsia="MS Mincho"/>
          <w:b/>
        </w:rPr>
        <w:t>r</w:t>
      </w:r>
      <w:r>
        <w:rPr>
          <w:rFonts w:eastAsia="MS Mincho"/>
          <w:b/>
        </w:rPr>
        <w:t xml:space="preserve"> Payment of Tuition</w:t>
      </w:r>
    </w:p>
    <w:p w:rsidR="00596165" w:rsidRDefault="00596165" w:rsidP="00527713">
      <w:pPr>
        <w:jc w:val="both"/>
        <w:rPr>
          <w:rFonts w:eastAsia="MS Mincho"/>
          <w:u w:val="single"/>
        </w:rPr>
      </w:pPr>
    </w:p>
    <w:p w:rsidR="00596165" w:rsidRDefault="00596165" w:rsidP="00527713">
      <w:pPr>
        <w:jc w:val="both"/>
        <w:rPr>
          <w:rFonts w:eastAsia="MS Mincho"/>
        </w:rPr>
      </w:pPr>
      <w:r>
        <w:rPr>
          <w:rFonts w:eastAsia="MS Mincho"/>
        </w:rPr>
        <w:t>The following students may enroll without payment of tuition or request for a waiver of the proof of residency requirements:</w:t>
      </w:r>
    </w:p>
    <w:p w:rsidR="00596165" w:rsidRDefault="00596165" w:rsidP="00527713">
      <w:pPr>
        <w:jc w:val="both"/>
        <w:rPr>
          <w:rFonts w:eastAsia="MS Mincho"/>
        </w:rPr>
      </w:pPr>
    </w:p>
    <w:p w:rsidR="00596165" w:rsidRDefault="00596165" w:rsidP="00527713">
      <w:pPr>
        <w:pStyle w:val="ListParagraph"/>
        <w:numPr>
          <w:ilvl w:val="0"/>
          <w:numId w:val="2"/>
        </w:numPr>
        <w:spacing w:after="240"/>
        <w:contextualSpacing w:val="0"/>
        <w:jc w:val="both"/>
        <w:rPr>
          <w:rFonts w:eastAsia="MS Mincho"/>
        </w:rPr>
      </w:pPr>
      <w:r>
        <w:rPr>
          <w:rFonts w:eastAsia="MS Mincho"/>
        </w:rPr>
        <w:t>Orphaned children or children with only one living parent.</w:t>
      </w:r>
    </w:p>
    <w:p w:rsidR="00596165" w:rsidRDefault="00596165" w:rsidP="00527713">
      <w:pPr>
        <w:pStyle w:val="ListParagraph"/>
        <w:numPr>
          <w:ilvl w:val="0"/>
          <w:numId w:val="2"/>
        </w:numPr>
        <w:spacing w:after="240"/>
        <w:contextualSpacing w:val="0"/>
        <w:jc w:val="both"/>
        <w:rPr>
          <w:rFonts w:eastAsia="MS Mincho"/>
        </w:rPr>
      </w:pPr>
      <w:r>
        <w:rPr>
          <w:rFonts w:eastAsia="MS Mincho"/>
        </w:rPr>
        <w:t xml:space="preserve">Children between the ages of six </w:t>
      </w:r>
      <w:r w:rsidR="0087149C">
        <w:rPr>
          <w:rFonts w:eastAsia="MS Mincho"/>
        </w:rPr>
        <w:t xml:space="preserve">(6) </w:t>
      </w:r>
      <w:r>
        <w:rPr>
          <w:rFonts w:eastAsia="MS Mincho"/>
        </w:rPr>
        <w:t>and twenty</w:t>
      </w:r>
      <w:r w:rsidR="0087149C">
        <w:rPr>
          <w:rFonts w:eastAsia="MS Mincho"/>
        </w:rPr>
        <w:t xml:space="preserve"> (20)</w:t>
      </w:r>
      <w:r>
        <w:rPr>
          <w:rFonts w:eastAsia="MS Mincho"/>
        </w:rPr>
        <w:t xml:space="preserve"> who are unable to pay tuition and whose parents/guardians do not contribute to their support.</w:t>
      </w:r>
    </w:p>
    <w:p w:rsidR="00596165" w:rsidRDefault="00596165" w:rsidP="00527713">
      <w:pPr>
        <w:pStyle w:val="ListParagraph"/>
        <w:numPr>
          <w:ilvl w:val="0"/>
          <w:numId w:val="2"/>
        </w:numPr>
        <w:spacing w:after="240"/>
        <w:contextualSpacing w:val="0"/>
        <w:jc w:val="both"/>
        <w:rPr>
          <w:rFonts w:eastAsia="MS Mincho"/>
        </w:rPr>
      </w:pPr>
      <w:r>
        <w:rPr>
          <w:rFonts w:eastAsia="MS Mincho"/>
        </w:rPr>
        <w:t>Children who participate in an American Field Service or similar foreign exchange program subject to District approval and provided that the student resides in the home of a District resident.</w:t>
      </w:r>
    </w:p>
    <w:p w:rsidR="00596165" w:rsidRDefault="00596165" w:rsidP="00527713">
      <w:pPr>
        <w:pStyle w:val="ListParagraph"/>
        <w:numPr>
          <w:ilvl w:val="0"/>
          <w:numId w:val="2"/>
        </w:numPr>
        <w:spacing w:after="240"/>
        <w:contextualSpacing w:val="0"/>
        <w:jc w:val="both"/>
        <w:rPr>
          <w:rFonts w:eastAsia="MS Mincho"/>
        </w:rPr>
      </w:pPr>
      <w:r>
        <w:rPr>
          <w:rFonts w:eastAsia="MS Mincho"/>
        </w:rPr>
        <w:t>Children whose parents/guardians own and reside upon property at least eighty (80) acres of which are used for agricultural purpose, provided at least thirty-five percent (35%) of the property is within the District.</w:t>
      </w:r>
    </w:p>
    <w:p w:rsidR="00596165" w:rsidRDefault="00596165" w:rsidP="00527713">
      <w:pPr>
        <w:pStyle w:val="ListParagraph"/>
        <w:numPr>
          <w:ilvl w:val="0"/>
          <w:numId w:val="2"/>
        </w:numPr>
        <w:spacing w:after="240"/>
        <w:contextualSpacing w:val="0"/>
        <w:jc w:val="both"/>
        <w:rPr>
          <w:rFonts w:eastAsia="MS Mincho"/>
        </w:rPr>
      </w:pPr>
      <w:r>
        <w:rPr>
          <w:rFonts w:eastAsia="MS Mincho"/>
        </w:rPr>
        <w:t>Inter-district court-ordered desegregation students.</w:t>
      </w:r>
    </w:p>
    <w:p w:rsidR="00596165" w:rsidRDefault="00596165" w:rsidP="00527713">
      <w:pPr>
        <w:pStyle w:val="ListParagraph"/>
        <w:numPr>
          <w:ilvl w:val="0"/>
          <w:numId w:val="2"/>
        </w:numPr>
        <w:spacing w:after="240"/>
        <w:contextualSpacing w:val="0"/>
        <w:jc w:val="both"/>
        <w:rPr>
          <w:rFonts w:eastAsia="MS Mincho"/>
        </w:rPr>
      </w:pPr>
      <w:r>
        <w:rPr>
          <w:rFonts w:eastAsia="MS Mincho"/>
        </w:rPr>
        <w:t>Students of District teachers or regular District employees.</w:t>
      </w:r>
    </w:p>
    <w:p w:rsidR="00596165" w:rsidRDefault="00596165" w:rsidP="00527713">
      <w:pPr>
        <w:pStyle w:val="ListParagraph"/>
        <w:numPr>
          <w:ilvl w:val="0"/>
          <w:numId w:val="2"/>
        </w:numPr>
        <w:spacing w:after="240"/>
        <w:contextualSpacing w:val="0"/>
        <w:jc w:val="both"/>
        <w:rPr>
          <w:rFonts w:eastAsia="MS Mincho"/>
        </w:rPr>
      </w:pPr>
      <w:r>
        <w:rPr>
          <w:rFonts w:eastAsia="MS Mincho"/>
        </w:rPr>
        <w:t>Homeless students.</w:t>
      </w:r>
    </w:p>
    <w:p w:rsidR="00596165" w:rsidRDefault="00596165" w:rsidP="00527713">
      <w:pPr>
        <w:pStyle w:val="ListParagraph"/>
        <w:numPr>
          <w:ilvl w:val="0"/>
          <w:numId w:val="2"/>
        </w:numPr>
        <w:spacing w:after="240"/>
        <w:contextualSpacing w:val="0"/>
        <w:jc w:val="both"/>
        <w:rPr>
          <w:rFonts w:eastAsia="MS Mincho"/>
        </w:rPr>
      </w:pPr>
      <w:r>
        <w:rPr>
          <w:rFonts w:eastAsia="MS Mincho"/>
        </w:rPr>
        <w:t>Wards of the state placed in a residential care facility by state officials.</w:t>
      </w:r>
    </w:p>
    <w:p w:rsidR="00596165" w:rsidRDefault="00596165" w:rsidP="00527713">
      <w:pPr>
        <w:pStyle w:val="ListParagraph"/>
        <w:numPr>
          <w:ilvl w:val="0"/>
          <w:numId w:val="2"/>
        </w:numPr>
        <w:spacing w:after="240"/>
        <w:contextualSpacing w:val="0"/>
        <w:jc w:val="both"/>
        <w:rPr>
          <w:rFonts w:eastAsia="MS Mincho"/>
        </w:rPr>
      </w:pPr>
      <w:r>
        <w:rPr>
          <w:rFonts w:eastAsia="MS Mincho"/>
        </w:rPr>
        <w:t>Students placed in a residential care facility by a juvenile court or due to a mental illness or developmental disability.</w:t>
      </w:r>
    </w:p>
    <w:p w:rsidR="00596165" w:rsidRDefault="00596165" w:rsidP="00527713">
      <w:pPr>
        <w:pStyle w:val="ListParagraph"/>
        <w:numPr>
          <w:ilvl w:val="0"/>
          <w:numId w:val="2"/>
        </w:numPr>
        <w:spacing w:after="240"/>
        <w:contextualSpacing w:val="0"/>
        <w:jc w:val="both"/>
        <w:rPr>
          <w:rFonts w:eastAsia="MS Mincho"/>
        </w:rPr>
      </w:pPr>
      <w:r>
        <w:rPr>
          <w:rFonts w:eastAsia="MS Mincho"/>
        </w:rPr>
        <w:t xml:space="preserve">Students with a disability identified under state eligibility criteria if the student is in the </w:t>
      </w:r>
      <w:r w:rsidR="00F32FB3">
        <w:rPr>
          <w:rFonts w:eastAsia="MS Mincho"/>
        </w:rPr>
        <w:t>D</w:t>
      </w:r>
      <w:r>
        <w:rPr>
          <w:rFonts w:eastAsia="MS Mincho"/>
        </w:rPr>
        <w:t>istrict for re</w:t>
      </w:r>
      <w:r w:rsidR="00F32FB3">
        <w:rPr>
          <w:rFonts w:eastAsia="MS Mincho"/>
        </w:rPr>
        <w:t>asons other than accessing the D</w:t>
      </w:r>
      <w:r>
        <w:rPr>
          <w:rFonts w:eastAsia="MS Mincho"/>
        </w:rPr>
        <w:t>istrict’s educational programs.</w:t>
      </w:r>
    </w:p>
    <w:p w:rsidR="0087149C" w:rsidRDefault="0087149C" w:rsidP="00527713">
      <w:pPr>
        <w:pStyle w:val="ListParagraph"/>
        <w:numPr>
          <w:ilvl w:val="0"/>
          <w:numId w:val="2"/>
        </w:numPr>
        <w:spacing w:after="240"/>
        <w:contextualSpacing w:val="0"/>
        <w:jc w:val="both"/>
        <w:rPr>
          <w:rFonts w:eastAsia="MS Mincho"/>
        </w:rPr>
      </w:pPr>
      <w:r>
        <w:rPr>
          <w:rFonts w:eastAsia="MS Mincho"/>
        </w:rPr>
        <w:t>Students attending regional or cooperative alternative education programs.</w:t>
      </w:r>
    </w:p>
    <w:p w:rsidR="00596165" w:rsidRDefault="00596165" w:rsidP="00527713">
      <w:pPr>
        <w:pStyle w:val="ListParagraph"/>
        <w:numPr>
          <w:ilvl w:val="0"/>
          <w:numId w:val="2"/>
        </w:numPr>
        <w:spacing w:after="240"/>
        <w:contextualSpacing w:val="0"/>
        <w:jc w:val="both"/>
        <w:rPr>
          <w:rFonts w:eastAsia="MS Mincho"/>
        </w:rPr>
      </w:pPr>
      <w:r>
        <w:rPr>
          <w:rFonts w:eastAsia="MS Mincho"/>
        </w:rPr>
        <w:t>Students attending an alternative education program on a contractual basis.</w:t>
      </w:r>
    </w:p>
    <w:p w:rsidR="005A17E6" w:rsidRPr="00596165" w:rsidRDefault="00596165" w:rsidP="00527713">
      <w:pPr>
        <w:jc w:val="both"/>
        <w:rPr>
          <w:rFonts w:eastAsia="MS Mincho"/>
        </w:rPr>
      </w:pPr>
      <w:r>
        <w:rPr>
          <w:rFonts w:eastAsia="MS Mincho"/>
        </w:rPr>
        <w:t>The administration may investigate the eligibility of children attending schools under the provisions of this regulation.</w:t>
      </w:r>
      <w:r w:rsidR="007D152A">
        <w:rPr>
          <w:rFonts w:eastAsia="MS Mincho"/>
        </w:rPr>
        <w:t xml:space="preserve">  If a determination is made by the Superintendent/Designee that the student does not meet the criteria to be entitled to a free public education by the District, the student may be administratively removed from the enrollment as set forth in Policy 2290.</w:t>
      </w:r>
      <w:r w:rsidR="00F46A4D" w:rsidDel="00F46A4D">
        <w:rPr>
          <w:rFonts w:eastAsia="MS Mincho"/>
        </w:rPr>
        <w:t xml:space="preserve"> </w:t>
      </w:r>
    </w:p>
    <w:p w:rsidR="00A56481" w:rsidRDefault="00A56481" w:rsidP="00527713">
      <w:pPr>
        <w:jc w:val="both"/>
      </w:pPr>
    </w:p>
    <w:sectPr w:rsidR="00A5648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1440" w:footer="10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EDC" w:rsidRDefault="00B13775">
      <w:r>
        <w:separator/>
      </w:r>
    </w:p>
  </w:endnote>
  <w:endnote w:type="continuationSeparator" w:id="0">
    <w:p w:rsidR="00363EDC" w:rsidRDefault="00B13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713" w:rsidRDefault="005277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713" w:rsidRDefault="00527713" w:rsidP="00527713">
    <w:pPr>
      <w:pStyle w:val="Footer"/>
      <w:tabs>
        <w:tab w:val="left" w:pos="4770"/>
      </w:tabs>
      <w:ind w:right="-450"/>
      <w:rPr>
        <w:sz w:val="18"/>
        <w:szCs w:val="18"/>
      </w:rPr>
    </w:pPr>
    <w:r>
      <w:rPr>
        <w:sz w:val="18"/>
        <w:szCs w:val="18"/>
      </w:rPr>
      <w:t>July, 2014</w:t>
    </w:r>
    <w:r>
      <w:rPr>
        <w:sz w:val="18"/>
        <w:szCs w:val="18"/>
      </w:rPr>
      <w:tab/>
    </w:r>
    <w:r>
      <w:rPr>
        <w:sz w:val="18"/>
        <w:szCs w:val="18"/>
      </w:rPr>
      <w:tab/>
    </w:r>
    <w:r>
      <w:rPr>
        <w:sz w:val="18"/>
        <w:szCs w:val="18"/>
      </w:rPr>
      <w:tab/>
      <w:t>Copyright © 2014 Missouri Consultants for Education</w:t>
    </w:r>
  </w:p>
  <w:p w:rsidR="007B443A" w:rsidRPr="007B443A" w:rsidRDefault="007B443A" w:rsidP="007B44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713" w:rsidRDefault="00527713" w:rsidP="00527713">
    <w:pPr>
      <w:pStyle w:val="Footer"/>
      <w:tabs>
        <w:tab w:val="left" w:pos="4770"/>
      </w:tabs>
      <w:ind w:right="-450"/>
      <w:rPr>
        <w:sz w:val="18"/>
        <w:szCs w:val="18"/>
      </w:rPr>
    </w:pPr>
    <w:r>
      <w:rPr>
        <w:sz w:val="18"/>
        <w:szCs w:val="18"/>
      </w:rPr>
      <w:t>July, 2014</w:t>
    </w:r>
    <w:r>
      <w:rPr>
        <w:sz w:val="18"/>
        <w:szCs w:val="18"/>
      </w:rPr>
      <w:tab/>
    </w:r>
    <w:r>
      <w:rPr>
        <w:sz w:val="18"/>
        <w:szCs w:val="18"/>
      </w:rPr>
      <w:tab/>
    </w:r>
    <w:r>
      <w:rPr>
        <w:sz w:val="18"/>
        <w:szCs w:val="18"/>
      </w:rPr>
      <w:tab/>
      <w:t>Copyright © 2014 Missouri Consultants for Education</w:t>
    </w:r>
  </w:p>
  <w:p w:rsidR="007B443A" w:rsidRPr="007B443A" w:rsidRDefault="007B443A" w:rsidP="007B443A">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EDC" w:rsidRDefault="00B13775">
      <w:pPr>
        <w:rPr>
          <w:noProof/>
        </w:rPr>
      </w:pPr>
      <w:r>
        <w:rPr>
          <w:noProof/>
        </w:rPr>
        <w:separator/>
      </w:r>
    </w:p>
  </w:footnote>
  <w:footnote w:type="continuationSeparator" w:id="0">
    <w:p w:rsidR="00363EDC" w:rsidRDefault="00B137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713" w:rsidRDefault="005277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F6B" w:rsidRDefault="00AD4A08">
    <w:pPr>
      <w:pStyle w:val="Heading2"/>
      <w:rPr>
        <w:rFonts w:eastAsia="MS Mincho"/>
      </w:rPr>
    </w:pPr>
    <w:r>
      <w:tab/>
    </w:r>
    <w:r>
      <w:tab/>
    </w:r>
    <w:r>
      <w:tab/>
    </w:r>
    <w:r>
      <w:tab/>
    </w:r>
    <w:r>
      <w:tab/>
    </w:r>
    <w:r>
      <w:tab/>
    </w:r>
    <w:r>
      <w:tab/>
    </w:r>
    <w:r>
      <w:tab/>
    </w:r>
    <w:r>
      <w:tab/>
    </w:r>
    <w:r>
      <w:tab/>
    </w:r>
    <w:r>
      <w:rPr>
        <w:rFonts w:eastAsia="MS Mincho"/>
        <w:u w:val="single"/>
      </w:rPr>
      <w:t>Regulation</w:t>
    </w:r>
    <w:r>
      <w:rPr>
        <w:rFonts w:eastAsia="MS Mincho"/>
      </w:rPr>
      <w:t xml:space="preserve"> 2230</w:t>
    </w:r>
  </w:p>
  <w:p w:rsidR="009F3F6B" w:rsidRDefault="00AD4A08">
    <w:pPr>
      <w:pStyle w:val="Heading2"/>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 xml:space="preserve">Page </w:t>
    </w:r>
    <w:r>
      <w:rPr>
        <w:rStyle w:val="PageNumber"/>
        <w:bCs w:val="0"/>
        <w:iCs w:val="0"/>
        <w:szCs w:val="24"/>
      </w:rPr>
      <w:fldChar w:fldCharType="begin"/>
    </w:r>
    <w:r>
      <w:rPr>
        <w:rStyle w:val="PageNumber"/>
        <w:bCs w:val="0"/>
        <w:iCs w:val="0"/>
        <w:szCs w:val="24"/>
      </w:rPr>
      <w:instrText xml:space="preserve"> PAGE </w:instrText>
    </w:r>
    <w:r>
      <w:rPr>
        <w:rStyle w:val="PageNumber"/>
        <w:bCs w:val="0"/>
        <w:iCs w:val="0"/>
        <w:szCs w:val="24"/>
      </w:rPr>
      <w:fldChar w:fldCharType="separate"/>
    </w:r>
    <w:r w:rsidR="00527713">
      <w:rPr>
        <w:rStyle w:val="PageNumber"/>
        <w:bCs w:val="0"/>
        <w:iCs w:val="0"/>
        <w:noProof/>
        <w:szCs w:val="24"/>
      </w:rPr>
      <w:t>2</w:t>
    </w:r>
    <w:r>
      <w:rPr>
        <w:rStyle w:val="PageNumber"/>
        <w:bCs w:val="0"/>
        <w:iCs w:val="0"/>
        <w:szCs w:val="24"/>
      </w:rPr>
      <w:fldChar w:fldCharType="end"/>
    </w:r>
  </w:p>
  <w:p w:rsidR="009F3F6B" w:rsidRDefault="00AD4A08">
    <w:pPr>
      <w:pStyle w:val="Header"/>
      <w:tabs>
        <w:tab w:val="clear" w:pos="8640"/>
        <w:tab w:val="right" w:pos="7200"/>
      </w:tabs>
    </w:pPr>
    <w:r>
      <w:tab/>
    </w:r>
    <w:r>
      <w:tab/>
    </w:r>
  </w:p>
  <w:p w:rsidR="009F3F6B" w:rsidRDefault="009F3F6B">
    <w:pPr>
      <w:pStyle w:val="Header"/>
      <w:tabs>
        <w:tab w:val="clear" w:pos="8640"/>
        <w:tab w:val="right" w:pos="7200"/>
      </w:tabs>
      <w:ind w:right="21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713" w:rsidRDefault="005277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41210"/>
    <w:multiLevelType w:val="hybridMultilevel"/>
    <w:tmpl w:val="44280290"/>
    <w:lvl w:ilvl="0" w:tplc="ADB8084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C606D89"/>
    <w:multiLevelType w:val="hybridMultilevel"/>
    <w:tmpl w:val="6720A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A08"/>
    <w:rsid w:val="000338EA"/>
    <w:rsid w:val="000E599A"/>
    <w:rsid w:val="002351C7"/>
    <w:rsid w:val="00363EDC"/>
    <w:rsid w:val="00527713"/>
    <w:rsid w:val="00596165"/>
    <w:rsid w:val="005A17E6"/>
    <w:rsid w:val="007B443A"/>
    <w:rsid w:val="007D152A"/>
    <w:rsid w:val="007F2978"/>
    <w:rsid w:val="0087149C"/>
    <w:rsid w:val="008A01C8"/>
    <w:rsid w:val="008D0858"/>
    <w:rsid w:val="009F3F6B"/>
    <w:rsid w:val="00A3570C"/>
    <w:rsid w:val="00A56481"/>
    <w:rsid w:val="00AD4A08"/>
    <w:rsid w:val="00B13775"/>
    <w:rsid w:val="00BE56C0"/>
    <w:rsid w:val="00EC31FA"/>
    <w:rsid w:val="00F32FB3"/>
    <w:rsid w:val="00F46A4D"/>
    <w:rsid w:val="00FE2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A0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D4A08"/>
    <w:pPr>
      <w:keepNext/>
      <w:outlineLvl w:val="0"/>
    </w:pPr>
    <w:rPr>
      <w:rFonts w:eastAsia="MS Mincho"/>
      <w:b/>
      <w:bCs/>
      <w:szCs w:val="20"/>
      <w:u w:val="single"/>
    </w:rPr>
  </w:style>
  <w:style w:type="paragraph" w:styleId="Heading2">
    <w:name w:val="heading 2"/>
    <w:basedOn w:val="Normal"/>
    <w:next w:val="Normal"/>
    <w:link w:val="Heading2Char"/>
    <w:qFormat/>
    <w:rsid w:val="00AD4A08"/>
    <w:pPr>
      <w:keepNext/>
      <w:outlineLvl w:val="1"/>
    </w:pPr>
    <w:rPr>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4A08"/>
    <w:rPr>
      <w:rFonts w:ascii="Times New Roman" w:eastAsia="MS Mincho" w:hAnsi="Times New Roman" w:cs="Times New Roman"/>
      <w:b/>
      <w:bCs/>
      <w:sz w:val="24"/>
      <w:szCs w:val="20"/>
      <w:u w:val="single"/>
    </w:rPr>
  </w:style>
  <w:style w:type="character" w:customStyle="1" w:styleId="Heading2Char">
    <w:name w:val="Heading 2 Char"/>
    <w:basedOn w:val="DefaultParagraphFont"/>
    <w:link w:val="Heading2"/>
    <w:rsid w:val="00AD4A08"/>
    <w:rPr>
      <w:rFonts w:ascii="Times New Roman" w:eastAsia="Times New Roman" w:hAnsi="Times New Roman" w:cs="Times New Roman"/>
      <w:b/>
      <w:bCs/>
      <w:iCs/>
      <w:sz w:val="24"/>
      <w:szCs w:val="28"/>
    </w:rPr>
  </w:style>
  <w:style w:type="paragraph" w:styleId="Header">
    <w:name w:val="header"/>
    <w:basedOn w:val="Normal"/>
    <w:link w:val="HeaderChar"/>
    <w:semiHidden/>
    <w:rsid w:val="00AD4A08"/>
    <w:pPr>
      <w:tabs>
        <w:tab w:val="center" w:pos="4320"/>
        <w:tab w:val="right" w:pos="8640"/>
      </w:tabs>
    </w:pPr>
  </w:style>
  <w:style w:type="character" w:customStyle="1" w:styleId="HeaderChar">
    <w:name w:val="Header Char"/>
    <w:basedOn w:val="DefaultParagraphFont"/>
    <w:link w:val="Header"/>
    <w:semiHidden/>
    <w:rsid w:val="00AD4A08"/>
    <w:rPr>
      <w:rFonts w:ascii="Times New Roman" w:eastAsia="Times New Roman" w:hAnsi="Times New Roman" w:cs="Times New Roman"/>
      <w:sz w:val="24"/>
      <w:szCs w:val="24"/>
    </w:rPr>
  </w:style>
  <w:style w:type="character" w:styleId="PageNumber">
    <w:name w:val="page number"/>
    <w:basedOn w:val="DefaultParagraphFont"/>
    <w:semiHidden/>
    <w:rsid w:val="00AD4A08"/>
  </w:style>
  <w:style w:type="paragraph" w:styleId="Footer">
    <w:name w:val="footer"/>
    <w:basedOn w:val="Normal"/>
    <w:link w:val="FooterChar"/>
    <w:unhideWhenUsed/>
    <w:rsid w:val="007B443A"/>
    <w:pPr>
      <w:tabs>
        <w:tab w:val="center" w:pos="4680"/>
        <w:tab w:val="right" w:pos="9360"/>
      </w:tabs>
    </w:pPr>
  </w:style>
  <w:style w:type="character" w:customStyle="1" w:styleId="FooterChar">
    <w:name w:val="Footer Char"/>
    <w:basedOn w:val="DefaultParagraphFont"/>
    <w:link w:val="Footer"/>
    <w:rsid w:val="007B443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6165"/>
    <w:rPr>
      <w:rFonts w:ascii="Tahoma" w:hAnsi="Tahoma" w:cs="Tahoma"/>
      <w:sz w:val="16"/>
      <w:szCs w:val="16"/>
    </w:rPr>
  </w:style>
  <w:style w:type="character" w:customStyle="1" w:styleId="BalloonTextChar">
    <w:name w:val="Balloon Text Char"/>
    <w:basedOn w:val="DefaultParagraphFont"/>
    <w:link w:val="BalloonText"/>
    <w:uiPriority w:val="99"/>
    <w:semiHidden/>
    <w:rsid w:val="00596165"/>
    <w:rPr>
      <w:rFonts w:ascii="Tahoma" w:eastAsia="Times New Roman" w:hAnsi="Tahoma" w:cs="Tahoma"/>
      <w:sz w:val="16"/>
      <w:szCs w:val="16"/>
    </w:rPr>
  </w:style>
  <w:style w:type="paragraph" w:styleId="ListParagraph">
    <w:name w:val="List Paragraph"/>
    <w:basedOn w:val="Normal"/>
    <w:uiPriority w:val="34"/>
    <w:qFormat/>
    <w:rsid w:val="005961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A0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D4A08"/>
    <w:pPr>
      <w:keepNext/>
      <w:outlineLvl w:val="0"/>
    </w:pPr>
    <w:rPr>
      <w:rFonts w:eastAsia="MS Mincho"/>
      <w:b/>
      <w:bCs/>
      <w:szCs w:val="20"/>
      <w:u w:val="single"/>
    </w:rPr>
  </w:style>
  <w:style w:type="paragraph" w:styleId="Heading2">
    <w:name w:val="heading 2"/>
    <w:basedOn w:val="Normal"/>
    <w:next w:val="Normal"/>
    <w:link w:val="Heading2Char"/>
    <w:qFormat/>
    <w:rsid w:val="00AD4A08"/>
    <w:pPr>
      <w:keepNext/>
      <w:outlineLvl w:val="1"/>
    </w:pPr>
    <w:rPr>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4A08"/>
    <w:rPr>
      <w:rFonts w:ascii="Times New Roman" w:eastAsia="MS Mincho" w:hAnsi="Times New Roman" w:cs="Times New Roman"/>
      <w:b/>
      <w:bCs/>
      <w:sz w:val="24"/>
      <w:szCs w:val="20"/>
      <w:u w:val="single"/>
    </w:rPr>
  </w:style>
  <w:style w:type="character" w:customStyle="1" w:styleId="Heading2Char">
    <w:name w:val="Heading 2 Char"/>
    <w:basedOn w:val="DefaultParagraphFont"/>
    <w:link w:val="Heading2"/>
    <w:rsid w:val="00AD4A08"/>
    <w:rPr>
      <w:rFonts w:ascii="Times New Roman" w:eastAsia="Times New Roman" w:hAnsi="Times New Roman" w:cs="Times New Roman"/>
      <w:b/>
      <w:bCs/>
      <w:iCs/>
      <w:sz w:val="24"/>
      <w:szCs w:val="28"/>
    </w:rPr>
  </w:style>
  <w:style w:type="paragraph" w:styleId="Header">
    <w:name w:val="header"/>
    <w:basedOn w:val="Normal"/>
    <w:link w:val="HeaderChar"/>
    <w:semiHidden/>
    <w:rsid w:val="00AD4A08"/>
    <w:pPr>
      <w:tabs>
        <w:tab w:val="center" w:pos="4320"/>
        <w:tab w:val="right" w:pos="8640"/>
      </w:tabs>
    </w:pPr>
  </w:style>
  <w:style w:type="character" w:customStyle="1" w:styleId="HeaderChar">
    <w:name w:val="Header Char"/>
    <w:basedOn w:val="DefaultParagraphFont"/>
    <w:link w:val="Header"/>
    <w:semiHidden/>
    <w:rsid w:val="00AD4A08"/>
    <w:rPr>
      <w:rFonts w:ascii="Times New Roman" w:eastAsia="Times New Roman" w:hAnsi="Times New Roman" w:cs="Times New Roman"/>
      <w:sz w:val="24"/>
      <w:szCs w:val="24"/>
    </w:rPr>
  </w:style>
  <w:style w:type="character" w:styleId="PageNumber">
    <w:name w:val="page number"/>
    <w:basedOn w:val="DefaultParagraphFont"/>
    <w:semiHidden/>
    <w:rsid w:val="00AD4A08"/>
  </w:style>
  <w:style w:type="paragraph" w:styleId="Footer">
    <w:name w:val="footer"/>
    <w:basedOn w:val="Normal"/>
    <w:link w:val="FooterChar"/>
    <w:unhideWhenUsed/>
    <w:rsid w:val="007B443A"/>
    <w:pPr>
      <w:tabs>
        <w:tab w:val="center" w:pos="4680"/>
        <w:tab w:val="right" w:pos="9360"/>
      </w:tabs>
    </w:pPr>
  </w:style>
  <w:style w:type="character" w:customStyle="1" w:styleId="FooterChar">
    <w:name w:val="Footer Char"/>
    <w:basedOn w:val="DefaultParagraphFont"/>
    <w:link w:val="Footer"/>
    <w:rsid w:val="007B443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6165"/>
    <w:rPr>
      <w:rFonts w:ascii="Tahoma" w:hAnsi="Tahoma" w:cs="Tahoma"/>
      <w:sz w:val="16"/>
      <w:szCs w:val="16"/>
    </w:rPr>
  </w:style>
  <w:style w:type="character" w:customStyle="1" w:styleId="BalloonTextChar">
    <w:name w:val="Balloon Text Char"/>
    <w:basedOn w:val="DefaultParagraphFont"/>
    <w:link w:val="BalloonText"/>
    <w:uiPriority w:val="99"/>
    <w:semiHidden/>
    <w:rsid w:val="00596165"/>
    <w:rPr>
      <w:rFonts w:ascii="Tahoma" w:eastAsia="Times New Roman" w:hAnsi="Tahoma" w:cs="Tahoma"/>
      <w:sz w:val="16"/>
      <w:szCs w:val="16"/>
    </w:rPr>
  </w:style>
  <w:style w:type="paragraph" w:styleId="ListParagraph">
    <w:name w:val="List Paragraph"/>
    <w:basedOn w:val="Normal"/>
    <w:uiPriority w:val="34"/>
    <w:qFormat/>
    <w:rsid w:val="005961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772</Words>
  <Characters>4192</Characters>
  <Application>Microsoft Office Word</Application>
  <DocSecurity>0</DocSecurity>
  <PresentationFormat/>
  <Lines>76</Lines>
  <Paragraphs>25</Paragraphs>
  <ScaleCrop>false</ScaleCrop>
  <HeadingPairs>
    <vt:vector size="2" baseType="variant">
      <vt:variant>
        <vt:lpstr>Title</vt:lpstr>
      </vt:variant>
      <vt:variant>
        <vt:i4>1</vt:i4>
      </vt:variant>
    </vt:vector>
  </HeadingPairs>
  <TitlesOfParts>
    <vt:vector size="1" baseType="lpstr">
      <vt:lpstr>Regulation 2230.DOCX</vt:lpstr>
    </vt:vector>
  </TitlesOfParts>
  <Company>HP</Company>
  <LinksUpToDate>false</LinksUpToDate>
  <CharactersWithSpaces>4971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R2230.DOCX</dc:title>
  <dc:subject>wdNOSTAMP</dc:subject>
  <dc:creator>Sarah Schmanke</dc:creator>
  <cp:lastModifiedBy>Nicole Boyles</cp:lastModifiedBy>
  <cp:revision>3</cp:revision>
  <cp:lastPrinted>2013-07-17T14:15:00Z</cp:lastPrinted>
  <dcterms:created xsi:type="dcterms:W3CDTF">2014-07-10T21:11:00Z</dcterms:created>
  <dcterms:modified xsi:type="dcterms:W3CDTF">2014-07-11T15:00:00Z</dcterms:modified>
</cp:coreProperties>
</file>